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952A6C" w:rsidRPr="00A52CE1" w:rsidRDefault="008A06E8" w:rsidP="001852C9">
      <w:pPr>
        <w:spacing w:line="288" w:lineRule="auto"/>
        <w:ind w:left="210" w:hanging="210"/>
        <w:rPr>
          <w:rFonts w:ascii="Times New Roman" w:eastAsia="TimesNRMTPro" w:hAnsi="Times New Roman"/>
          <w:b/>
          <w:bCs/>
          <w:sz w:val="28"/>
          <w:szCs w:val="28"/>
          <w:lang w:val="en-US"/>
        </w:rPr>
      </w:pPr>
      <w:r>
        <w:rPr>
          <w:rFonts w:ascii="Times New Roman" w:eastAsia="TimesNRMTPro" w:hAnsi="Times New Roman"/>
          <w:b/>
          <w:bCs/>
          <w:sz w:val="28"/>
          <w:szCs w:val="28"/>
          <w:lang w:val="en-US"/>
        </w:rPr>
        <w:t>ISLAMIC FINANCE IN NON-MUSLIM-MAJORITY JURISDICTIONS</w:t>
      </w:r>
    </w:p>
    <w:p w:rsidR="0039498B" w:rsidRPr="001852C9" w:rsidRDefault="002040D9" w:rsidP="0039498B">
      <w:pPr>
        <w:rPr>
          <w:rFonts w:ascii="Times New Roman" w:hAnsi="Times New Roman"/>
          <w:szCs w:val="24"/>
          <w:lang w:val="en-US"/>
        </w:rPr>
      </w:pPr>
      <w:r>
        <w:rPr>
          <w:rFonts w:ascii="Times New Roman" w:hAnsi="Times New Roman"/>
          <w:szCs w:val="24"/>
          <w:lang w:val="en-US"/>
        </w:rPr>
        <w:t xml:space="preserve"> </w:t>
      </w:r>
    </w:p>
    <w:p w:rsidR="00331D43" w:rsidRPr="008D7DA0" w:rsidRDefault="00331D43" w:rsidP="00CF7E38">
      <w:pPr>
        <w:spacing w:line="288" w:lineRule="auto"/>
        <w:ind w:left="210" w:hanging="210"/>
        <w:rPr>
          <w:rFonts w:ascii="Times New Roman" w:eastAsia="TimesNRMTPro" w:hAnsi="Times New Roman"/>
          <w:sz w:val="28"/>
          <w:szCs w:val="28"/>
          <w:lang w:val="en-GB"/>
        </w:rPr>
      </w:pPr>
    </w:p>
    <w:p w:rsidR="00200D50" w:rsidRPr="00321995" w:rsidRDefault="00EA300B" w:rsidP="00200D50">
      <w:pPr>
        <w:spacing w:line="288" w:lineRule="auto"/>
        <w:ind w:left="210" w:hanging="210"/>
        <w:rPr>
          <w:rFonts w:ascii="Times New Roman" w:eastAsia="TimesNRMTPro" w:hAnsi="Times New Roman"/>
          <w:b/>
          <w:szCs w:val="24"/>
          <w:lang w:val="en-GB"/>
        </w:rPr>
      </w:pPr>
      <w:r>
        <w:rPr>
          <w:rFonts w:ascii="Times New Roman" w:eastAsia="TimesNRMTPro" w:hAnsi="Times New Roman"/>
          <w:b/>
          <w:szCs w:val="24"/>
          <w:lang w:val="en-GB"/>
        </w:rPr>
        <w:t>1.</w:t>
      </w:r>
      <w:r w:rsidR="00200D50" w:rsidRPr="00321995">
        <w:rPr>
          <w:rFonts w:ascii="Times New Roman" w:eastAsia="TimesNRMTPro" w:hAnsi="Times New Roman"/>
          <w:b/>
          <w:szCs w:val="24"/>
          <w:lang w:val="en-GB"/>
        </w:rPr>
        <w:t>Introduction</w:t>
      </w:r>
    </w:p>
    <w:p w:rsidR="00200D50" w:rsidRDefault="00200D50" w:rsidP="00200D50">
      <w:pPr>
        <w:spacing w:line="288" w:lineRule="auto"/>
        <w:rPr>
          <w:rFonts w:ascii="Times New Roman" w:eastAsia="TimesNRMTPro" w:hAnsi="Times New Roman"/>
          <w:sz w:val="28"/>
          <w:szCs w:val="28"/>
          <w:lang w:val="en-GB"/>
        </w:rPr>
      </w:pPr>
      <w:r>
        <w:rPr>
          <w:rFonts w:ascii="Times New Roman" w:eastAsia="TimesNRMTPro" w:hAnsi="Times New Roman"/>
          <w:szCs w:val="24"/>
          <w:lang w:val="en-GB"/>
        </w:rPr>
        <w:t>Islamic finance in Europe is no passing fad. Though Islamic retail banking in Europe cannot yet be called a resounding success, banks specialising in wealth management or real estate investment are doing be</w:t>
      </w:r>
      <w:r w:rsidR="008B777B">
        <w:rPr>
          <w:rFonts w:ascii="Times New Roman" w:eastAsia="TimesNRMTPro" w:hAnsi="Times New Roman"/>
          <w:szCs w:val="24"/>
          <w:lang w:val="en-GB"/>
        </w:rPr>
        <w:t xml:space="preserve">tter, first of all in the </w:t>
      </w:r>
      <w:r>
        <w:rPr>
          <w:rFonts w:ascii="Times New Roman" w:eastAsia="TimesNRMTPro" w:hAnsi="Times New Roman"/>
          <w:szCs w:val="24"/>
          <w:lang w:val="en-GB"/>
        </w:rPr>
        <w:t>United Kingdom. Some countries, such</w:t>
      </w:r>
      <w:r w:rsidR="008344B2">
        <w:rPr>
          <w:rFonts w:ascii="Times New Roman" w:eastAsia="TimesNRMTPro" w:hAnsi="Times New Roman"/>
          <w:szCs w:val="24"/>
          <w:lang w:val="en-GB"/>
        </w:rPr>
        <w:t xml:space="preserve"> as t</w:t>
      </w:r>
      <w:r>
        <w:rPr>
          <w:rFonts w:ascii="Times New Roman" w:eastAsia="TimesNRMTPro" w:hAnsi="Times New Roman"/>
          <w:szCs w:val="24"/>
          <w:lang w:val="en-GB"/>
        </w:rPr>
        <w:t xml:space="preserve">he Netherlands, are without Islamic banks, though </w:t>
      </w:r>
      <w:r w:rsidR="008B777B">
        <w:rPr>
          <w:rFonts w:ascii="Times New Roman" w:eastAsia="TimesNRMTPro" w:hAnsi="Times New Roman"/>
          <w:szCs w:val="24"/>
          <w:lang w:val="en-GB"/>
        </w:rPr>
        <w:t xml:space="preserve">the Amsterdam offices of </w:t>
      </w:r>
      <w:r>
        <w:rPr>
          <w:rFonts w:ascii="Times New Roman" w:eastAsia="TimesNRMTPro" w:hAnsi="Times New Roman"/>
          <w:szCs w:val="24"/>
          <w:lang w:val="en-GB"/>
        </w:rPr>
        <w:t>international law firms will happily arrange Islamic financing by Gulf financiers. The main causes of the hesitant rise of Islamic banking in Europe</w:t>
      </w:r>
      <w:r w:rsidR="008E1439">
        <w:rPr>
          <w:rFonts w:ascii="Times New Roman" w:eastAsia="TimesNRMTPro" w:hAnsi="Times New Roman"/>
          <w:szCs w:val="24"/>
          <w:lang w:val="en-GB"/>
        </w:rPr>
        <w:t xml:space="preserve"> probably are</w:t>
      </w:r>
      <w:r>
        <w:rPr>
          <w:rFonts w:ascii="Times New Roman" w:eastAsia="TimesNRMTPro" w:hAnsi="Times New Roman"/>
          <w:szCs w:val="24"/>
          <w:lang w:val="en-GB"/>
        </w:rPr>
        <w:t>:</w:t>
      </w:r>
    </w:p>
    <w:p w:rsidR="00331D43" w:rsidRPr="007E6455" w:rsidRDefault="00EA300B" w:rsidP="007E6455">
      <w:pPr>
        <w:spacing w:line="288" w:lineRule="auto"/>
        <w:ind w:left="210" w:hanging="210"/>
        <w:rPr>
          <w:rFonts w:ascii="Times New Roman" w:eastAsia="TimesNRMTPro" w:hAnsi="Times New Roman"/>
          <w:szCs w:val="24"/>
          <w:lang w:val="en-GB"/>
        </w:rPr>
      </w:pPr>
      <w:r>
        <w:rPr>
          <w:rFonts w:ascii="Times New Roman" w:eastAsia="TimesNRMTPro" w:hAnsi="Times New Roman"/>
          <w:szCs w:val="24"/>
          <w:lang w:val="en-GB"/>
        </w:rPr>
        <w:t>i</w:t>
      </w:r>
      <w:r w:rsidR="007E6455">
        <w:rPr>
          <w:rFonts w:ascii="Times New Roman" w:eastAsia="TimesNRMTPro" w:hAnsi="Times New Roman"/>
          <w:szCs w:val="24"/>
          <w:lang w:val="en-GB"/>
        </w:rPr>
        <w:t xml:space="preserve">- </w:t>
      </w:r>
      <w:r w:rsidR="00331D43" w:rsidRPr="007E6455">
        <w:rPr>
          <w:rFonts w:ascii="Times New Roman" w:eastAsia="TimesNRMTPro" w:hAnsi="Times New Roman"/>
          <w:szCs w:val="24"/>
          <w:lang w:val="en-GB"/>
        </w:rPr>
        <w:t>Hostility and fear of ‘Islamization’</w:t>
      </w:r>
      <w:r w:rsidR="00A3652F" w:rsidRPr="007E6455">
        <w:rPr>
          <w:rFonts w:ascii="Times New Roman" w:eastAsia="TimesNRMTPro" w:hAnsi="Times New Roman"/>
          <w:szCs w:val="24"/>
          <w:lang w:val="en-GB"/>
        </w:rPr>
        <w:t xml:space="preserve"> </w:t>
      </w:r>
      <w:r w:rsidR="00772634">
        <w:rPr>
          <w:rFonts w:ascii="Times New Roman" w:eastAsia="TimesNRMTPro" w:hAnsi="Times New Roman"/>
          <w:szCs w:val="24"/>
          <w:lang w:val="en-GB"/>
        </w:rPr>
        <w:t>among part of the public and politicians</w:t>
      </w:r>
      <w:r w:rsidR="00A3652F" w:rsidRPr="007E6455">
        <w:rPr>
          <w:rFonts w:ascii="Times New Roman" w:eastAsia="TimesNRMTPro" w:hAnsi="Times New Roman"/>
          <w:szCs w:val="24"/>
          <w:lang w:val="en-GB"/>
        </w:rPr>
        <w:t xml:space="preserve">, which leads to </w:t>
      </w:r>
      <w:r w:rsidR="00C82246">
        <w:rPr>
          <w:rFonts w:ascii="Times New Roman" w:eastAsia="TimesNRMTPro" w:hAnsi="Times New Roman"/>
          <w:szCs w:val="24"/>
          <w:lang w:val="en-GB"/>
        </w:rPr>
        <w:t xml:space="preserve">unwillingness to adapt laws and banking and financial market </w:t>
      </w:r>
      <w:r w:rsidR="00A3652F" w:rsidRPr="007E6455">
        <w:rPr>
          <w:rFonts w:ascii="Times New Roman" w:eastAsia="TimesNRMTPro" w:hAnsi="Times New Roman"/>
          <w:szCs w:val="24"/>
          <w:lang w:val="en-GB"/>
        </w:rPr>
        <w:t>regulations to facilitate Islamic finance</w:t>
      </w:r>
      <w:r w:rsidR="007E6455" w:rsidRPr="007E6455">
        <w:rPr>
          <w:rFonts w:ascii="Times New Roman" w:eastAsia="TimesNRMTPro" w:hAnsi="Times New Roman"/>
          <w:szCs w:val="24"/>
          <w:lang w:val="en-GB"/>
        </w:rPr>
        <w:t>.</w:t>
      </w:r>
    </w:p>
    <w:p w:rsidR="00331D43" w:rsidRPr="007E6455" w:rsidRDefault="00EA300B" w:rsidP="007E6455">
      <w:pPr>
        <w:spacing w:line="288" w:lineRule="auto"/>
        <w:ind w:left="210" w:hanging="210"/>
        <w:rPr>
          <w:rFonts w:ascii="Times New Roman" w:eastAsia="TimesNRMTPro" w:hAnsi="Times New Roman"/>
          <w:szCs w:val="24"/>
          <w:lang w:val="en-GB"/>
        </w:rPr>
      </w:pPr>
      <w:r>
        <w:rPr>
          <w:rFonts w:ascii="Times New Roman" w:eastAsia="TimesNRMTPro" w:hAnsi="Times New Roman"/>
          <w:szCs w:val="24"/>
          <w:lang w:val="en-GB"/>
        </w:rPr>
        <w:t>ii</w:t>
      </w:r>
      <w:r w:rsidR="007E6455">
        <w:rPr>
          <w:rFonts w:ascii="Times New Roman" w:eastAsia="TimesNRMTPro" w:hAnsi="Times New Roman"/>
          <w:szCs w:val="24"/>
          <w:lang w:val="en-GB"/>
        </w:rPr>
        <w:t xml:space="preserve">- </w:t>
      </w:r>
      <w:r w:rsidR="00A3652F" w:rsidRPr="007E6455">
        <w:rPr>
          <w:rFonts w:ascii="Times New Roman" w:eastAsia="TimesNRMTPro" w:hAnsi="Times New Roman"/>
          <w:szCs w:val="24"/>
          <w:lang w:val="en-GB"/>
        </w:rPr>
        <w:t>Lack of awareness and knowledge of Islamic finance</w:t>
      </w:r>
      <w:r w:rsidR="00772634">
        <w:rPr>
          <w:rFonts w:ascii="Times New Roman" w:eastAsia="TimesNRMTPro" w:hAnsi="Times New Roman"/>
          <w:szCs w:val="24"/>
          <w:lang w:val="en-GB"/>
        </w:rPr>
        <w:t xml:space="preserve"> and lack of interest</w:t>
      </w:r>
      <w:r w:rsidR="00A3652F" w:rsidRPr="007E6455">
        <w:rPr>
          <w:rFonts w:ascii="Times New Roman" w:eastAsia="TimesNRMTPro" w:hAnsi="Times New Roman"/>
          <w:szCs w:val="24"/>
          <w:lang w:val="en-GB"/>
        </w:rPr>
        <w:t xml:space="preserve"> among the Islamic residents of European countries</w:t>
      </w:r>
      <w:r w:rsidR="00772634">
        <w:rPr>
          <w:rFonts w:ascii="Times New Roman" w:eastAsia="TimesNRMTPro" w:hAnsi="Times New Roman"/>
          <w:szCs w:val="24"/>
          <w:lang w:val="en-GB"/>
        </w:rPr>
        <w:t xml:space="preserve"> (see for an overview of surveys Visser</w:t>
      </w:r>
      <w:r w:rsidR="008B777B">
        <w:rPr>
          <w:rFonts w:ascii="Times New Roman" w:eastAsia="TimesNRMTPro" w:hAnsi="Times New Roman"/>
          <w:szCs w:val="24"/>
          <w:lang w:val="en-GB"/>
        </w:rPr>
        <w:t>,</w:t>
      </w:r>
      <w:r w:rsidR="00772634">
        <w:rPr>
          <w:rFonts w:ascii="Times New Roman" w:eastAsia="TimesNRMTPro" w:hAnsi="Times New Roman"/>
          <w:szCs w:val="24"/>
          <w:lang w:val="en-GB"/>
        </w:rPr>
        <w:t xml:space="preserve"> 2013 pp. 180-182)</w:t>
      </w:r>
      <w:r w:rsidR="00A3652F" w:rsidRPr="007E6455">
        <w:rPr>
          <w:rFonts w:ascii="Times New Roman" w:eastAsia="TimesNRMTPro" w:hAnsi="Times New Roman"/>
          <w:szCs w:val="24"/>
          <w:lang w:val="en-GB"/>
        </w:rPr>
        <w:t>.</w:t>
      </w:r>
    </w:p>
    <w:p w:rsidR="00A3652F" w:rsidRPr="007E6455" w:rsidRDefault="00EA300B" w:rsidP="007E6455">
      <w:pPr>
        <w:spacing w:line="288" w:lineRule="auto"/>
        <w:ind w:left="210" w:hanging="210"/>
        <w:rPr>
          <w:rFonts w:ascii="Times New Roman" w:eastAsia="TimesNRMTPro" w:hAnsi="Times New Roman"/>
          <w:szCs w:val="24"/>
          <w:lang w:val="en-GB"/>
        </w:rPr>
      </w:pPr>
      <w:r>
        <w:rPr>
          <w:rFonts w:ascii="Times New Roman" w:eastAsia="TimesNRMTPro" w:hAnsi="Times New Roman"/>
          <w:szCs w:val="24"/>
          <w:lang w:val="en-GB"/>
        </w:rPr>
        <w:t>iii</w:t>
      </w:r>
      <w:r w:rsidR="007E6455">
        <w:rPr>
          <w:rFonts w:ascii="Times New Roman" w:eastAsia="TimesNRMTPro" w:hAnsi="Times New Roman"/>
          <w:szCs w:val="24"/>
          <w:lang w:val="en-GB"/>
        </w:rPr>
        <w:t xml:space="preserve">- </w:t>
      </w:r>
      <w:r w:rsidR="00A3652F" w:rsidRPr="007E6455">
        <w:rPr>
          <w:rFonts w:ascii="Times New Roman" w:eastAsia="TimesNRMTPro" w:hAnsi="Times New Roman"/>
          <w:szCs w:val="24"/>
          <w:lang w:val="en-GB"/>
        </w:rPr>
        <w:t xml:space="preserve">Aversion to the Islamic finance industry among Muslims because it is seen as conventional finance made more complicated, </w:t>
      </w:r>
      <w:r w:rsidR="003E37B3">
        <w:rPr>
          <w:rFonts w:ascii="Times New Roman" w:eastAsia="TimesNRMTPro" w:hAnsi="Times New Roman"/>
          <w:szCs w:val="24"/>
          <w:lang w:val="en-GB"/>
        </w:rPr>
        <w:t>being</w:t>
      </w:r>
      <w:r w:rsidR="00A3652F" w:rsidRPr="007E6455">
        <w:rPr>
          <w:rFonts w:ascii="Times New Roman" w:eastAsia="TimesNRMTPro" w:hAnsi="Times New Roman"/>
          <w:szCs w:val="24"/>
          <w:lang w:val="en-GB"/>
        </w:rPr>
        <w:t xml:space="preserve"> mainly debt-based (</w:t>
      </w:r>
      <w:r w:rsidR="00C82246">
        <w:rPr>
          <w:rFonts w:ascii="Times New Roman" w:eastAsia="TimesNRMTPro" w:hAnsi="Times New Roman"/>
          <w:szCs w:val="24"/>
          <w:lang w:val="en-GB"/>
        </w:rPr>
        <w:t xml:space="preserve">see </w:t>
      </w:r>
      <w:r w:rsidR="00A3652F" w:rsidRPr="007E6455">
        <w:rPr>
          <w:rFonts w:ascii="Times New Roman" w:eastAsia="TimesNRMTPro" w:hAnsi="Times New Roman"/>
          <w:szCs w:val="24"/>
          <w:lang w:val="en-GB"/>
        </w:rPr>
        <w:t>Visser</w:t>
      </w:r>
      <w:r w:rsidR="008B777B">
        <w:rPr>
          <w:rFonts w:ascii="Times New Roman" w:eastAsia="TimesNRMTPro" w:hAnsi="Times New Roman"/>
          <w:szCs w:val="24"/>
          <w:lang w:val="en-GB"/>
        </w:rPr>
        <w:t>,</w:t>
      </w:r>
      <w:r w:rsidR="00A3652F" w:rsidRPr="007E6455">
        <w:rPr>
          <w:rFonts w:ascii="Times New Roman" w:eastAsia="TimesNRMTPro" w:hAnsi="Times New Roman"/>
          <w:szCs w:val="24"/>
          <w:lang w:val="en-GB"/>
        </w:rPr>
        <w:t xml:space="preserve"> 2016)</w:t>
      </w:r>
      <w:r w:rsidR="008B777B">
        <w:rPr>
          <w:rFonts w:ascii="Times New Roman" w:eastAsia="TimesNRMTPro" w:hAnsi="Times New Roman"/>
          <w:szCs w:val="24"/>
          <w:lang w:val="en-GB"/>
        </w:rPr>
        <w:t>.</w:t>
      </w:r>
    </w:p>
    <w:p w:rsidR="00F66CF5" w:rsidRDefault="00EA300B" w:rsidP="007E6455">
      <w:pPr>
        <w:spacing w:line="288" w:lineRule="auto"/>
        <w:ind w:left="210" w:hanging="210"/>
        <w:rPr>
          <w:rFonts w:ascii="Times New Roman" w:eastAsia="TimesNRMTPro" w:hAnsi="Times New Roman"/>
          <w:szCs w:val="24"/>
          <w:lang w:val="en-GB"/>
        </w:rPr>
      </w:pPr>
      <w:r>
        <w:rPr>
          <w:rFonts w:ascii="Times New Roman" w:eastAsia="TimesNRMTPro" w:hAnsi="Times New Roman"/>
          <w:szCs w:val="24"/>
          <w:lang w:val="en-GB"/>
        </w:rPr>
        <w:t>iv</w:t>
      </w:r>
      <w:r w:rsidR="007E6455">
        <w:rPr>
          <w:rFonts w:ascii="Times New Roman" w:eastAsia="TimesNRMTPro" w:hAnsi="Times New Roman"/>
          <w:szCs w:val="24"/>
          <w:lang w:val="en-GB"/>
        </w:rPr>
        <w:t xml:space="preserve">- </w:t>
      </w:r>
      <w:r w:rsidR="00200D50">
        <w:rPr>
          <w:rFonts w:ascii="Times New Roman" w:eastAsia="TimesNRMTPro" w:hAnsi="Times New Roman"/>
          <w:szCs w:val="24"/>
          <w:lang w:val="en-GB"/>
        </w:rPr>
        <w:t>Regulatory i</w:t>
      </w:r>
      <w:r w:rsidR="00A3652F" w:rsidRPr="007E6455">
        <w:rPr>
          <w:rFonts w:ascii="Times New Roman" w:eastAsia="TimesNRMTPro" w:hAnsi="Times New Roman"/>
          <w:szCs w:val="24"/>
          <w:lang w:val="en-GB"/>
        </w:rPr>
        <w:t xml:space="preserve">ssues, or </w:t>
      </w:r>
      <w:r w:rsidR="00200D50">
        <w:rPr>
          <w:rFonts w:ascii="Times New Roman" w:eastAsia="TimesNRMTPro" w:hAnsi="Times New Roman"/>
          <w:szCs w:val="24"/>
          <w:lang w:val="en-GB"/>
        </w:rPr>
        <w:t>a</w:t>
      </w:r>
      <w:r w:rsidR="00A3652F" w:rsidRPr="007E6455">
        <w:rPr>
          <w:rFonts w:ascii="Times New Roman" w:eastAsia="TimesNRMTPro" w:hAnsi="Times New Roman"/>
          <w:szCs w:val="24"/>
          <w:lang w:val="en-GB"/>
        </w:rPr>
        <w:t xml:space="preserve">dministrative hurdles, </w:t>
      </w:r>
      <w:r w:rsidR="003E37B3">
        <w:rPr>
          <w:rFonts w:ascii="Times New Roman" w:eastAsia="TimesNRMTPro" w:hAnsi="Times New Roman"/>
          <w:szCs w:val="24"/>
          <w:lang w:val="en-GB"/>
        </w:rPr>
        <w:t>or the complexity of adapting the regulatory framework to Islamic finance</w:t>
      </w:r>
      <w:r w:rsidR="00A3652F" w:rsidRPr="007E6455">
        <w:rPr>
          <w:rFonts w:ascii="Times New Roman" w:eastAsia="TimesNRMTPro" w:hAnsi="Times New Roman"/>
          <w:szCs w:val="24"/>
          <w:lang w:val="en-GB"/>
        </w:rPr>
        <w:t xml:space="preserve">. </w:t>
      </w:r>
    </w:p>
    <w:p w:rsidR="00444CBE" w:rsidRDefault="00444CBE" w:rsidP="00444CBE">
      <w:pPr>
        <w:spacing w:line="288" w:lineRule="auto"/>
        <w:rPr>
          <w:rFonts w:ascii="Times New Roman" w:eastAsia="TimesNRMTPro" w:hAnsi="Times New Roman"/>
          <w:szCs w:val="24"/>
          <w:lang w:val="en-GB"/>
        </w:rPr>
      </w:pPr>
    </w:p>
    <w:p w:rsidR="00A3652F" w:rsidRPr="007E6455" w:rsidRDefault="00772634" w:rsidP="00444CBE">
      <w:pPr>
        <w:spacing w:line="288" w:lineRule="auto"/>
        <w:rPr>
          <w:rFonts w:ascii="Times New Roman" w:eastAsia="TimesNRMTPro" w:hAnsi="Times New Roman"/>
          <w:szCs w:val="24"/>
          <w:lang w:val="en-GB"/>
        </w:rPr>
      </w:pPr>
      <w:r>
        <w:rPr>
          <w:rFonts w:ascii="Times New Roman" w:eastAsia="TimesNRMTPro" w:hAnsi="Times New Roman"/>
          <w:szCs w:val="24"/>
          <w:lang w:val="en-GB"/>
        </w:rPr>
        <w:t>The</w:t>
      </w:r>
      <w:r w:rsidR="00F66CF5">
        <w:rPr>
          <w:rFonts w:ascii="Times New Roman" w:eastAsia="TimesNRMTPro" w:hAnsi="Times New Roman"/>
          <w:szCs w:val="24"/>
          <w:lang w:val="en-GB"/>
        </w:rPr>
        <w:t xml:space="preserve"> regulatory</w:t>
      </w:r>
      <w:r w:rsidR="00F37E3B">
        <w:rPr>
          <w:rFonts w:ascii="Times New Roman" w:eastAsia="TimesNRMTPro" w:hAnsi="Times New Roman"/>
          <w:szCs w:val="24"/>
          <w:lang w:val="en-GB"/>
        </w:rPr>
        <w:t xml:space="preserve"> issues</w:t>
      </w:r>
      <w:r>
        <w:rPr>
          <w:rFonts w:ascii="Times New Roman" w:eastAsia="TimesNRMTPro" w:hAnsi="Times New Roman"/>
          <w:szCs w:val="24"/>
          <w:lang w:val="en-GB"/>
        </w:rPr>
        <w:t xml:space="preserve"> form </w:t>
      </w:r>
      <w:r w:rsidR="00200D50">
        <w:rPr>
          <w:rFonts w:ascii="Times New Roman" w:eastAsia="TimesNRMTPro" w:hAnsi="Times New Roman"/>
          <w:szCs w:val="24"/>
          <w:lang w:val="en-GB"/>
        </w:rPr>
        <w:t>the subject of this paper.</w:t>
      </w:r>
      <w:r w:rsidR="00444CBE">
        <w:rPr>
          <w:rFonts w:ascii="Times New Roman" w:eastAsia="TimesNRMTPro" w:hAnsi="Times New Roman"/>
          <w:szCs w:val="24"/>
          <w:lang w:val="en-GB"/>
        </w:rPr>
        <w:t xml:space="preserve"> The discussion will be restricted to banks. Investment funds face fewer hurdles, but insurance companies</w:t>
      </w:r>
      <w:r w:rsidR="00EA300B">
        <w:rPr>
          <w:rFonts w:ascii="Times New Roman" w:eastAsia="TimesNRMTPro" w:hAnsi="Times New Roman"/>
          <w:szCs w:val="24"/>
          <w:lang w:val="en-GB"/>
        </w:rPr>
        <w:t xml:space="preserve"> and </w:t>
      </w:r>
      <w:r w:rsidR="00444CBE">
        <w:rPr>
          <w:rFonts w:ascii="Times New Roman" w:eastAsia="TimesNRMTPro" w:hAnsi="Times New Roman"/>
          <w:szCs w:val="24"/>
          <w:lang w:val="en-GB"/>
        </w:rPr>
        <w:t xml:space="preserve"> </w:t>
      </w:r>
      <w:r w:rsidR="00EA300B">
        <w:rPr>
          <w:rFonts w:ascii="Times New Roman" w:eastAsia="TimesNRMTPro" w:hAnsi="Times New Roman"/>
          <w:szCs w:val="24"/>
          <w:lang w:val="en-GB"/>
        </w:rPr>
        <w:t xml:space="preserve">pension funds </w:t>
      </w:r>
      <w:r w:rsidR="00444CBE">
        <w:rPr>
          <w:rFonts w:ascii="Times New Roman" w:eastAsia="TimesNRMTPro" w:hAnsi="Times New Roman"/>
          <w:szCs w:val="24"/>
          <w:lang w:val="en-GB"/>
        </w:rPr>
        <w:t>are a different story. Islamic insurance or takaful is constructed as a mutual protection scheme</w:t>
      </w:r>
      <w:r w:rsidR="00F37E3B">
        <w:rPr>
          <w:rFonts w:ascii="Times New Roman" w:eastAsia="TimesNRMTPro" w:hAnsi="Times New Roman"/>
          <w:szCs w:val="24"/>
          <w:lang w:val="en-GB"/>
        </w:rPr>
        <w:t xml:space="preserve">, but </w:t>
      </w:r>
      <w:r w:rsidR="00F37E3B">
        <w:rPr>
          <w:rFonts w:ascii="Times New Roman" w:eastAsia="TimesNRMTPro" w:hAnsi="Times New Roman"/>
          <w:szCs w:val="24"/>
          <w:lang w:val="en-GB"/>
        </w:rPr>
        <w:lastRenderedPageBreak/>
        <w:t>often managed by a commercial firm, which for instance means that shareholders’ funds and policyholders’ funds must be kept apart (Hidayat</w:t>
      </w:r>
      <w:r w:rsidR="00D41164">
        <w:rPr>
          <w:rFonts w:ascii="Times New Roman" w:eastAsia="TimesNRMTPro" w:hAnsi="Times New Roman"/>
          <w:szCs w:val="24"/>
          <w:lang w:val="en-GB"/>
        </w:rPr>
        <w:t>,</w:t>
      </w:r>
      <w:r w:rsidR="00F37E3B">
        <w:rPr>
          <w:rFonts w:ascii="Times New Roman" w:eastAsia="TimesNRMTPro" w:hAnsi="Times New Roman"/>
          <w:szCs w:val="24"/>
          <w:lang w:val="en-GB"/>
        </w:rPr>
        <w:t xml:space="preserve"> 2016). Furthermore, the ban on interest will throw up many problems for pension funds and takaful firms in a European context. These cannot be studied here in any depth.</w:t>
      </w:r>
    </w:p>
    <w:p w:rsidR="0007605A" w:rsidRDefault="00200D50" w:rsidP="00EA300B">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The regulatory issues that</w:t>
      </w:r>
      <w:r w:rsidR="008E1439">
        <w:rPr>
          <w:rFonts w:ascii="Times New Roman" w:eastAsia="TimesNRMTPro" w:hAnsi="Times New Roman"/>
          <w:szCs w:val="24"/>
          <w:lang w:val="en-GB"/>
        </w:rPr>
        <w:t xml:space="preserve"> impact on and</w:t>
      </w:r>
      <w:r>
        <w:rPr>
          <w:rFonts w:ascii="Times New Roman" w:eastAsia="TimesNRMTPro" w:hAnsi="Times New Roman"/>
          <w:szCs w:val="24"/>
          <w:lang w:val="en-GB"/>
        </w:rPr>
        <w:t xml:space="preserve"> may hinder the development of Islamic finance </w:t>
      </w:r>
      <w:r w:rsidR="008E1439">
        <w:rPr>
          <w:rFonts w:ascii="Times New Roman" w:eastAsia="TimesNRMTPro" w:hAnsi="Times New Roman"/>
          <w:szCs w:val="24"/>
          <w:lang w:val="en-GB"/>
        </w:rPr>
        <w:t>are manifold</w:t>
      </w:r>
      <w:r w:rsidR="008F6475">
        <w:rPr>
          <w:rFonts w:ascii="Times New Roman" w:eastAsia="TimesNRMTPro" w:hAnsi="Times New Roman"/>
          <w:szCs w:val="24"/>
          <w:lang w:val="en-GB"/>
        </w:rPr>
        <w:t>. An overview is given s</w:t>
      </w:r>
      <w:r w:rsidR="008E1439">
        <w:rPr>
          <w:rFonts w:ascii="Times New Roman" w:eastAsia="TimesNRMTPro" w:hAnsi="Times New Roman"/>
          <w:szCs w:val="24"/>
          <w:lang w:val="en-GB"/>
        </w:rPr>
        <w:t xml:space="preserve">tarting from the idea that legislation and supervision should aim at a level playing field for conventional and Islamic finance </w:t>
      </w:r>
      <w:r w:rsidR="00EA300B">
        <w:rPr>
          <w:rFonts w:ascii="Times New Roman" w:eastAsia="TimesNRMTPro" w:hAnsi="Times New Roman"/>
          <w:szCs w:val="24"/>
          <w:lang w:val="en-GB"/>
        </w:rPr>
        <w:t>while maintaining</w:t>
      </w:r>
      <w:r w:rsidR="008E1439">
        <w:rPr>
          <w:rFonts w:ascii="Times New Roman" w:eastAsia="TimesNRMTPro" w:hAnsi="Times New Roman"/>
          <w:szCs w:val="24"/>
          <w:lang w:val="en-GB"/>
        </w:rPr>
        <w:t xml:space="preserve"> financial stability.</w:t>
      </w:r>
    </w:p>
    <w:p w:rsidR="008E1439" w:rsidRDefault="008E1439" w:rsidP="0007605A">
      <w:pPr>
        <w:spacing w:line="288" w:lineRule="auto"/>
        <w:rPr>
          <w:rFonts w:ascii="Times New Roman" w:eastAsia="TimesNRMTPro" w:hAnsi="Times New Roman"/>
          <w:szCs w:val="24"/>
          <w:lang w:val="en-GB"/>
        </w:rPr>
      </w:pPr>
    </w:p>
    <w:p w:rsidR="0007605A" w:rsidRPr="00EA300B" w:rsidRDefault="00EA300B" w:rsidP="0007605A">
      <w:pPr>
        <w:spacing w:line="288" w:lineRule="auto"/>
        <w:rPr>
          <w:rFonts w:ascii="Times New Roman" w:eastAsia="TimesNRMTPro" w:hAnsi="Times New Roman"/>
          <w:b/>
          <w:szCs w:val="24"/>
          <w:lang w:val="en-GB"/>
        </w:rPr>
      </w:pPr>
      <w:r>
        <w:rPr>
          <w:rFonts w:ascii="Times New Roman" w:eastAsia="TimesNRMTPro" w:hAnsi="Times New Roman"/>
          <w:b/>
          <w:szCs w:val="24"/>
          <w:lang w:val="en-GB"/>
        </w:rPr>
        <w:t>2.S</w:t>
      </w:r>
      <w:r w:rsidR="0007605A" w:rsidRPr="00EA300B">
        <w:rPr>
          <w:rFonts w:ascii="Times New Roman" w:eastAsia="TimesNRMTPro" w:hAnsi="Times New Roman"/>
          <w:b/>
          <w:szCs w:val="24"/>
          <w:lang w:val="en-GB"/>
        </w:rPr>
        <w:t>ingle or separate legislation</w:t>
      </w:r>
      <w:r w:rsidR="002918C8" w:rsidRPr="00EA300B">
        <w:rPr>
          <w:rFonts w:ascii="Times New Roman" w:eastAsia="TimesNRMTPro" w:hAnsi="Times New Roman"/>
          <w:b/>
          <w:szCs w:val="24"/>
          <w:lang w:val="en-GB"/>
        </w:rPr>
        <w:t xml:space="preserve"> and supervision</w:t>
      </w:r>
    </w:p>
    <w:p w:rsidR="002918C8" w:rsidRDefault="00807871" w:rsidP="0007605A">
      <w:pPr>
        <w:spacing w:line="288" w:lineRule="auto"/>
        <w:rPr>
          <w:rFonts w:ascii="Times New Roman" w:eastAsia="TimesNRMTPro" w:hAnsi="Times New Roman"/>
          <w:szCs w:val="24"/>
          <w:lang w:val="en-GB"/>
        </w:rPr>
      </w:pPr>
      <w:r>
        <w:rPr>
          <w:rFonts w:ascii="Times New Roman" w:eastAsia="TimesNRMTPro" w:hAnsi="Times New Roman"/>
          <w:szCs w:val="24"/>
          <w:lang w:val="en-GB"/>
        </w:rPr>
        <w:t xml:space="preserve">First, regulators and lawmakers have to decide whether to adopt separate legislation for conventional and Islamic banks </w:t>
      </w:r>
      <w:r w:rsidR="00E57C93">
        <w:rPr>
          <w:rFonts w:ascii="Times New Roman" w:eastAsia="TimesNRMTPro" w:hAnsi="Times New Roman"/>
          <w:szCs w:val="24"/>
          <w:lang w:val="en-GB"/>
        </w:rPr>
        <w:t>and other</w:t>
      </w:r>
      <w:r>
        <w:rPr>
          <w:rFonts w:ascii="Times New Roman" w:eastAsia="TimesNRMTPro" w:hAnsi="Times New Roman"/>
          <w:szCs w:val="24"/>
          <w:lang w:val="en-GB"/>
        </w:rPr>
        <w:t xml:space="preserve"> financial institutions, or single legislation for the financial sector as a whole. The leading idea of the economics discipline is that there is no such thing as a free lunch, or, in technical language, there are always opportuniy costs</w:t>
      </w:r>
      <w:r w:rsidR="00CF1203">
        <w:rPr>
          <w:rFonts w:ascii="Times New Roman" w:eastAsia="TimesNRMTPro" w:hAnsi="Times New Roman"/>
          <w:szCs w:val="24"/>
          <w:lang w:val="en-GB"/>
        </w:rPr>
        <w:t>: if you want to have one thing, you will have to give up something else</w:t>
      </w:r>
      <w:r>
        <w:rPr>
          <w:rFonts w:ascii="Times New Roman" w:eastAsia="TimesNRMTPro" w:hAnsi="Times New Roman"/>
          <w:szCs w:val="24"/>
          <w:lang w:val="en-GB"/>
        </w:rPr>
        <w:t xml:space="preserve">. So both solutions have their pros and cons. </w:t>
      </w:r>
      <w:r w:rsidR="00714071">
        <w:rPr>
          <w:rFonts w:ascii="Times New Roman" w:eastAsia="TimesNRMTPro" w:hAnsi="Times New Roman"/>
          <w:szCs w:val="24"/>
          <w:lang w:val="en-GB"/>
        </w:rPr>
        <w:t>Separate legislation makes it simpler to take account of the special features of Islamic finance, but requires more legislative work</w:t>
      </w:r>
      <w:r w:rsidR="00AF1D28">
        <w:rPr>
          <w:rFonts w:ascii="Times New Roman" w:eastAsia="TimesNRMTPro" w:hAnsi="Times New Roman"/>
          <w:szCs w:val="24"/>
          <w:lang w:val="en-GB"/>
        </w:rPr>
        <w:t xml:space="preserve"> (López Mejía et al.</w:t>
      </w:r>
      <w:r w:rsidR="00D41164">
        <w:rPr>
          <w:rFonts w:ascii="Times New Roman" w:eastAsia="TimesNRMTPro" w:hAnsi="Times New Roman"/>
          <w:szCs w:val="24"/>
          <w:lang w:val="en-GB"/>
        </w:rPr>
        <w:t>,</w:t>
      </w:r>
      <w:r w:rsidR="00AF1D28">
        <w:rPr>
          <w:rFonts w:ascii="Times New Roman" w:eastAsia="TimesNRMTPro" w:hAnsi="Times New Roman"/>
          <w:szCs w:val="24"/>
          <w:lang w:val="en-GB"/>
        </w:rPr>
        <w:t xml:space="preserve"> 2014)</w:t>
      </w:r>
      <w:r w:rsidR="00714071">
        <w:rPr>
          <w:rFonts w:ascii="Times New Roman" w:eastAsia="TimesNRMTPro" w:hAnsi="Times New Roman"/>
          <w:szCs w:val="24"/>
          <w:lang w:val="en-GB"/>
        </w:rPr>
        <w:t xml:space="preserve"> </w:t>
      </w:r>
      <w:r w:rsidR="004C2C3A">
        <w:rPr>
          <w:rFonts w:ascii="Times New Roman" w:eastAsia="TimesNRMTPro" w:hAnsi="Times New Roman"/>
          <w:szCs w:val="24"/>
          <w:lang w:val="en-GB"/>
        </w:rPr>
        <w:t>a</w:t>
      </w:r>
      <w:r w:rsidR="00AF1D28">
        <w:rPr>
          <w:rFonts w:ascii="Times New Roman" w:eastAsia="TimesNRMTPro" w:hAnsi="Times New Roman"/>
          <w:szCs w:val="24"/>
          <w:lang w:val="en-GB"/>
        </w:rPr>
        <w:t>nd runs the</w:t>
      </w:r>
      <w:r w:rsidR="00714071">
        <w:rPr>
          <w:rFonts w:ascii="Times New Roman" w:eastAsia="TimesNRMTPro" w:hAnsi="Times New Roman"/>
          <w:szCs w:val="24"/>
          <w:lang w:val="en-GB"/>
        </w:rPr>
        <w:t xml:space="preserve"> risk </w:t>
      </w:r>
      <w:r w:rsidR="00AF1D28">
        <w:rPr>
          <w:rFonts w:ascii="Times New Roman" w:eastAsia="TimesNRMTPro" w:hAnsi="Times New Roman"/>
          <w:szCs w:val="24"/>
          <w:lang w:val="en-GB"/>
        </w:rPr>
        <w:t>of</w:t>
      </w:r>
      <w:r w:rsidR="00714071">
        <w:rPr>
          <w:rFonts w:ascii="Times New Roman" w:eastAsia="TimesNRMTPro" w:hAnsi="Times New Roman"/>
          <w:szCs w:val="24"/>
          <w:lang w:val="en-GB"/>
        </w:rPr>
        <w:t xml:space="preserve"> los</w:t>
      </w:r>
      <w:r w:rsidR="00AF1D28">
        <w:rPr>
          <w:rFonts w:ascii="Times New Roman" w:eastAsia="TimesNRMTPro" w:hAnsi="Times New Roman"/>
          <w:szCs w:val="24"/>
          <w:lang w:val="en-GB"/>
        </w:rPr>
        <w:t>ing</w:t>
      </w:r>
      <w:r w:rsidR="00714071">
        <w:rPr>
          <w:rFonts w:ascii="Times New Roman" w:eastAsia="TimesNRMTPro" w:hAnsi="Times New Roman"/>
          <w:szCs w:val="24"/>
          <w:lang w:val="en-GB"/>
        </w:rPr>
        <w:t xml:space="preserve"> sight of the level playing field. </w:t>
      </w:r>
      <w:r w:rsidR="00D41164">
        <w:rPr>
          <w:rFonts w:ascii="Times New Roman" w:eastAsia="TimesNRMTPro" w:hAnsi="Times New Roman"/>
          <w:szCs w:val="24"/>
          <w:lang w:val="en-GB"/>
        </w:rPr>
        <w:t>U</w:t>
      </w:r>
      <w:r w:rsidR="004C2C3A">
        <w:rPr>
          <w:rFonts w:ascii="Times New Roman" w:eastAsia="TimesNRMTPro" w:hAnsi="Times New Roman"/>
          <w:szCs w:val="24"/>
          <w:lang w:val="en-GB"/>
        </w:rPr>
        <w:t>nder single legislation</w:t>
      </w:r>
      <w:r w:rsidR="00D41164">
        <w:rPr>
          <w:rFonts w:ascii="Times New Roman" w:eastAsia="TimesNRMTPro" w:hAnsi="Times New Roman"/>
          <w:szCs w:val="24"/>
          <w:lang w:val="en-GB"/>
        </w:rPr>
        <w:t xml:space="preserve">, on the other hand, </w:t>
      </w:r>
      <w:r w:rsidR="004C2C3A">
        <w:rPr>
          <w:rFonts w:ascii="Times New Roman" w:eastAsia="TimesNRMTPro" w:hAnsi="Times New Roman"/>
          <w:szCs w:val="24"/>
          <w:lang w:val="en-GB"/>
        </w:rPr>
        <w:t>care must be exerted to avoid undue restrictions on the activities of Islamic financial institutions.</w:t>
      </w:r>
      <w:r w:rsidR="00583FCB">
        <w:rPr>
          <w:rFonts w:ascii="Times New Roman" w:eastAsia="TimesNRMTPro" w:hAnsi="Times New Roman"/>
          <w:szCs w:val="24"/>
          <w:lang w:val="en-GB"/>
        </w:rPr>
        <w:t xml:space="preserve"> </w:t>
      </w:r>
      <w:r w:rsidR="00692B95">
        <w:rPr>
          <w:rFonts w:ascii="Times New Roman" w:eastAsia="TimesNRMTPro" w:hAnsi="Times New Roman"/>
          <w:szCs w:val="24"/>
          <w:lang w:val="en-GB"/>
        </w:rPr>
        <w:tab/>
      </w:r>
      <w:r w:rsidR="0001159E">
        <w:rPr>
          <w:rFonts w:ascii="Times New Roman" w:eastAsia="TimesNRMTPro" w:hAnsi="Times New Roman"/>
          <w:szCs w:val="24"/>
          <w:lang w:val="en-GB"/>
        </w:rPr>
        <w:t>In 2011 t</w:t>
      </w:r>
      <w:r w:rsidR="00692B95">
        <w:rPr>
          <w:rFonts w:ascii="Times New Roman" w:eastAsia="TimesNRMTPro" w:hAnsi="Times New Roman"/>
          <w:szCs w:val="24"/>
          <w:lang w:val="en-GB"/>
        </w:rPr>
        <w:t>he IMF conducted a survey</w:t>
      </w:r>
      <w:r w:rsidR="00065ECC">
        <w:rPr>
          <w:rFonts w:ascii="Times New Roman" w:eastAsia="TimesNRMTPro" w:hAnsi="Times New Roman"/>
          <w:szCs w:val="24"/>
          <w:lang w:val="en-GB"/>
        </w:rPr>
        <w:t xml:space="preserve"> among 30 non-EU countries plus the UK</w:t>
      </w:r>
      <w:r w:rsidR="00601CA3">
        <w:rPr>
          <w:rFonts w:ascii="Times New Roman" w:eastAsia="TimesNRMTPro" w:hAnsi="Times New Roman"/>
          <w:szCs w:val="24"/>
          <w:lang w:val="en-GB"/>
        </w:rPr>
        <w:t xml:space="preserve"> on</w:t>
      </w:r>
      <w:r w:rsidR="00692B95">
        <w:rPr>
          <w:rFonts w:ascii="Times New Roman" w:eastAsia="TimesNRMTPro" w:hAnsi="Times New Roman"/>
          <w:szCs w:val="24"/>
          <w:lang w:val="en-GB"/>
        </w:rPr>
        <w:t xml:space="preserve"> </w:t>
      </w:r>
      <w:r w:rsidR="00065ECC">
        <w:rPr>
          <w:rFonts w:ascii="Times New Roman" w:eastAsia="TimesNRMTPro" w:hAnsi="Times New Roman"/>
          <w:szCs w:val="24"/>
          <w:lang w:val="en-GB"/>
        </w:rPr>
        <w:t>how Islamic banks are regulated</w:t>
      </w:r>
      <w:r w:rsidR="00601CA3">
        <w:rPr>
          <w:rFonts w:ascii="Times New Roman" w:eastAsia="TimesNRMTPro" w:hAnsi="Times New Roman"/>
          <w:szCs w:val="24"/>
          <w:lang w:val="en-GB"/>
        </w:rPr>
        <w:t>. It</w:t>
      </w:r>
      <w:r w:rsidR="00065ECC">
        <w:rPr>
          <w:rFonts w:ascii="Times New Roman" w:eastAsia="TimesNRMTPro" w:hAnsi="Times New Roman"/>
          <w:szCs w:val="24"/>
          <w:lang w:val="en-GB"/>
        </w:rPr>
        <w:t xml:space="preserve"> found that only three had a separate regulatory franework for Islamic banking, but the majority of the others supplemented the Basel Committee framework fully or partly applicable to all banks with additional provisions for Islamic banks. These sometimes consisted of prudential standards and guiding principles developed by the Islamic Financial Service Board (IFSB)</w:t>
      </w:r>
      <w:r w:rsidR="002918C8">
        <w:rPr>
          <w:rFonts w:ascii="Times New Roman" w:eastAsia="TimesNRMTPro" w:hAnsi="Times New Roman"/>
          <w:szCs w:val="24"/>
          <w:lang w:val="en-GB"/>
        </w:rPr>
        <w:t xml:space="preserve">. Some, such as Bahrain, Indonesia, Jordan, Lebanon and Pakistan, have separate supervisory units </w:t>
      </w:r>
      <w:r w:rsidR="002918C8" w:rsidRPr="002918C8">
        <w:rPr>
          <w:rFonts w:ascii="Times New Roman" w:eastAsia="TimesNRMTPro" w:hAnsi="Times New Roman"/>
          <w:szCs w:val="24"/>
          <w:lang w:val="en-GB"/>
        </w:rPr>
        <w:t>within a single supervisory authority</w:t>
      </w:r>
      <w:r w:rsidR="00065ECC">
        <w:rPr>
          <w:rFonts w:ascii="Times New Roman" w:eastAsia="TimesNRMTPro" w:hAnsi="Times New Roman"/>
          <w:szCs w:val="24"/>
          <w:lang w:val="en-GB"/>
        </w:rPr>
        <w:t xml:space="preserve"> (Song and Oosthuizen, 2014).</w:t>
      </w:r>
      <w:r w:rsidR="002918C8">
        <w:rPr>
          <w:rFonts w:ascii="Times New Roman" w:eastAsia="TimesNRMTPro" w:hAnsi="Times New Roman"/>
          <w:szCs w:val="24"/>
          <w:lang w:val="en-GB"/>
        </w:rPr>
        <w:t xml:space="preserve"> </w:t>
      </w:r>
    </w:p>
    <w:p w:rsidR="001F1549" w:rsidRDefault="00601CA3" w:rsidP="002918C8">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A related</w:t>
      </w:r>
      <w:r w:rsidR="00F66CF5">
        <w:rPr>
          <w:rFonts w:ascii="Times New Roman" w:eastAsia="TimesNRMTPro" w:hAnsi="Times New Roman"/>
          <w:szCs w:val="24"/>
          <w:lang w:val="en-GB"/>
        </w:rPr>
        <w:t xml:space="preserve"> question is what accounting standards must be followed. Some </w:t>
      </w:r>
      <w:r>
        <w:rPr>
          <w:rFonts w:ascii="Times New Roman" w:eastAsia="TimesNRMTPro" w:hAnsi="Times New Roman"/>
          <w:szCs w:val="24"/>
          <w:lang w:val="en-GB"/>
        </w:rPr>
        <w:t>Muslim-majority</w:t>
      </w:r>
      <w:r w:rsidR="00F66CF5">
        <w:rPr>
          <w:rFonts w:ascii="Times New Roman" w:eastAsia="TimesNRMTPro" w:hAnsi="Times New Roman"/>
          <w:szCs w:val="24"/>
          <w:lang w:val="en-GB"/>
        </w:rPr>
        <w:t xml:space="preserve"> countries follow accounting standards developed by</w:t>
      </w:r>
      <w:r w:rsidR="00F66CF5" w:rsidRPr="00F66CF5">
        <w:rPr>
          <w:rFonts w:ascii="Times New Roman" w:eastAsia="TimesNRMTPro" w:hAnsi="Times New Roman"/>
          <w:szCs w:val="24"/>
          <w:lang w:val="en-GB"/>
        </w:rPr>
        <w:t xml:space="preserve"> </w:t>
      </w:r>
      <w:r w:rsidR="00F66CF5">
        <w:rPr>
          <w:rFonts w:ascii="Times New Roman" w:eastAsia="TimesNRMTPro" w:hAnsi="Times New Roman"/>
          <w:szCs w:val="24"/>
          <w:lang w:val="en-GB"/>
        </w:rPr>
        <w:t xml:space="preserve">the Accounting and Auditing Organization for Islamic Financial Institutions (AAOIFI), but important players in the Islamic finance field such as </w:t>
      </w:r>
      <w:r w:rsidR="00F66CF5" w:rsidRPr="00F66CF5">
        <w:rPr>
          <w:rFonts w:ascii="Times New Roman" w:eastAsia="TimesNRMTPro" w:hAnsi="Times New Roman"/>
          <w:szCs w:val="24"/>
          <w:lang w:val="en-GB"/>
        </w:rPr>
        <w:t xml:space="preserve">Malaysia, </w:t>
      </w:r>
      <w:r w:rsidR="00F66CF5">
        <w:rPr>
          <w:rFonts w:ascii="Times New Roman" w:eastAsia="TimesNRMTPro" w:hAnsi="Times New Roman"/>
          <w:szCs w:val="24"/>
          <w:lang w:val="en-GB"/>
        </w:rPr>
        <w:t xml:space="preserve">the UAE and </w:t>
      </w:r>
      <w:r w:rsidR="00F66CF5" w:rsidRPr="00F66CF5">
        <w:rPr>
          <w:rFonts w:ascii="Times New Roman" w:eastAsia="TimesNRMTPro" w:hAnsi="Times New Roman"/>
          <w:szCs w:val="24"/>
          <w:lang w:val="en-GB"/>
        </w:rPr>
        <w:t>Saudi Arabia</w:t>
      </w:r>
      <w:r w:rsidR="00AA75D5">
        <w:rPr>
          <w:rFonts w:ascii="Times New Roman" w:eastAsia="TimesNRMTPro" w:hAnsi="Times New Roman"/>
          <w:szCs w:val="24"/>
          <w:lang w:val="en-GB"/>
        </w:rPr>
        <w:t xml:space="preserve"> follow</w:t>
      </w:r>
      <w:r w:rsidR="00F66CF5">
        <w:rPr>
          <w:rFonts w:ascii="Times New Roman" w:eastAsia="TimesNRMTPro" w:hAnsi="Times New Roman"/>
          <w:szCs w:val="24"/>
          <w:lang w:val="en-GB"/>
        </w:rPr>
        <w:t xml:space="preserve"> </w:t>
      </w:r>
      <w:r w:rsidR="000124D6">
        <w:rPr>
          <w:rFonts w:ascii="Times New Roman" w:eastAsia="TimesNRMTPro" w:hAnsi="Times New Roman"/>
          <w:szCs w:val="24"/>
          <w:lang w:val="en-GB"/>
        </w:rPr>
        <w:t>the International Financial Reporting Standards (IFRS) of  the International Accounting Standards Board, like most countries (Amin, 2015</w:t>
      </w:r>
      <w:r w:rsidR="00AA75D5">
        <w:rPr>
          <w:rFonts w:ascii="Times New Roman" w:eastAsia="TimesNRMTPro" w:hAnsi="Times New Roman"/>
          <w:szCs w:val="24"/>
          <w:lang w:val="en-GB"/>
        </w:rPr>
        <w:t>; see for a survey among Islamic financial institutions AOSSG, 2015</w:t>
      </w:r>
      <w:r w:rsidR="000124D6">
        <w:rPr>
          <w:rFonts w:ascii="Times New Roman" w:eastAsia="TimesNRMTPro" w:hAnsi="Times New Roman"/>
          <w:szCs w:val="24"/>
          <w:lang w:val="en-GB"/>
        </w:rPr>
        <w:t>).</w:t>
      </w:r>
      <w:r w:rsidR="001F1549">
        <w:rPr>
          <w:rFonts w:ascii="Times New Roman" w:eastAsia="TimesNRMTPro" w:hAnsi="Times New Roman"/>
          <w:szCs w:val="24"/>
          <w:lang w:val="en-GB"/>
        </w:rPr>
        <w:t xml:space="preserve"> </w:t>
      </w:r>
    </w:p>
    <w:p w:rsidR="001F1549" w:rsidRDefault="007B6AB4" w:rsidP="007B6AB4">
      <w:pPr>
        <w:spacing w:line="288" w:lineRule="auto"/>
        <w:rPr>
          <w:rFonts w:ascii="Times New Roman" w:eastAsia="TimesNRMTPro" w:hAnsi="Times New Roman"/>
          <w:szCs w:val="24"/>
          <w:lang w:val="en-GB"/>
        </w:rPr>
      </w:pPr>
      <w:r>
        <w:rPr>
          <w:rFonts w:ascii="Times New Roman" w:eastAsia="TimesNRMTPro" w:hAnsi="Times New Roman"/>
          <w:szCs w:val="24"/>
          <w:lang w:val="en-GB"/>
        </w:rPr>
        <w:t>Single  regulation without</w:t>
      </w:r>
      <w:r w:rsidR="001F1549">
        <w:rPr>
          <w:rFonts w:ascii="Times New Roman" w:eastAsia="TimesNRMTPro" w:hAnsi="Times New Roman"/>
          <w:szCs w:val="24"/>
          <w:lang w:val="en-GB"/>
        </w:rPr>
        <w:t xml:space="preserve"> special provisions may hurt Islamic banking because </w:t>
      </w:r>
      <w:r w:rsidR="00601CA3">
        <w:rPr>
          <w:rFonts w:ascii="Times New Roman" w:eastAsia="TimesNRMTPro" w:hAnsi="Times New Roman"/>
          <w:szCs w:val="24"/>
          <w:lang w:val="en-GB"/>
        </w:rPr>
        <w:t xml:space="preserve">they are bound to </w:t>
      </w:r>
      <w:r w:rsidR="001F1549">
        <w:rPr>
          <w:rFonts w:ascii="Times New Roman" w:eastAsia="TimesNRMTPro" w:hAnsi="Times New Roman"/>
          <w:szCs w:val="24"/>
          <w:lang w:val="en-GB"/>
        </w:rPr>
        <w:t xml:space="preserve">the ban </w:t>
      </w:r>
      <w:r w:rsidR="003045A9">
        <w:rPr>
          <w:rFonts w:ascii="Times New Roman" w:eastAsia="TimesNRMTPro" w:hAnsi="Times New Roman"/>
          <w:szCs w:val="24"/>
          <w:lang w:val="en-GB"/>
        </w:rPr>
        <w:t xml:space="preserve">on </w:t>
      </w:r>
      <w:r w:rsidR="00601CA3">
        <w:rPr>
          <w:rFonts w:ascii="Times New Roman" w:eastAsia="TimesNRMTPro" w:hAnsi="Times New Roman"/>
          <w:szCs w:val="24"/>
          <w:lang w:val="en-GB"/>
        </w:rPr>
        <w:t>riba</w:t>
      </w:r>
      <w:r w:rsidR="003045A9">
        <w:rPr>
          <w:rFonts w:ascii="Times New Roman" w:eastAsia="TimesNRMTPro" w:hAnsi="Times New Roman"/>
          <w:szCs w:val="24"/>
          <w:lang w:val="en-GB"/>
        </w:rPr>
        <w:t>,</w:t>
      </w:r>
      <w:r w:rsidR="00601CA3">
        <w:rPr>
          <w:rFonts w:ascii="Times New Roman" w:eastAsia="TimesNRMTPro" w:hAnsi="Times New Roman"/>
          <w:szCs w:val="24"/>
          <w:lang w:val="en-GB"/>
        </w:rPr>
        <w:t xml:space="preserve"> which precludes interest on money loans, and furthermore </w:t>
      </w:r>
      <w:r w:rsidR="003045A9">
        <w:rPr>
          <w:rFonts w:ascii="Times New Roman" w:eastAsia="TimesNRMTPro" w:hAnsi="Times New Roman"/>
          <w:szCs w:val="24"/>
          <w:lang w:val="en-GB"/>
        </w:rPr>
        <w:t xml:space="preserve">because it uses a number of financial instruments that conventional banks do not, and which </w:t>
      </w:r>
      <w:r w:rsidR="00601CA3">
        <w:rPr>
          <w:rFonts w:ascii="Times New Roman" w:eastAsia="TimesNRMTPro" w:hAnsi="Times New Roman"/>
          <w:szCs w:val="24"/>
          <w:lang w:val="en-GB"/>
        </w:rPr>
        <w:t>prevailing</w:t>
      </w:r>
      <w:r w:rsidR="003045A9">
        <w:rPr>
          <w:rFonts w:ascii="Times New Roman" w:eastAsia="TimesNRMTPro" w:hAnsi="Times New Roman"/>
          <w:szCs w:val="24"/>
          <w:lang w:val="en-GB"/>
        </w:rPr>
        <w:t xml:space="preserve"> laws and regulations may not accommodate easily.</w:t>
      </w:r>
      <w:r>
        <w:rPr>
          <w:rFonts w:ascii="Times New Roman" w:eastAsia="TimesNRMTPro" w:hAnsi="Times New Roman"/>
          <w:szCs w:val="24"/>
          <w:lang w:val="en-GB"/>
        </w:rPr>
        <w:t xml:space="preserve"> If, for instance, banks are subject to restrictions as to holding equity positions in companies, this may prevent Islamic banks from providing PLS  (profit-and-loss-sharing) finance, and just that is the ideal of Islamic finance (Bakar et al., 2009 p. 84). Other  Islamic financial instruments, such as</w:t>
      </w:r>
      <w:r w:rsidR="00DD73F3">
        <w:rPr>
          <w:rFonts w:ascii="Times New Roman" w:eastAsia="TimesNRMTPro" w:hAnsi="Times New Roman"/>
          <w:szCs w:val="24"/>
          <w:lang w:val="en-GB"/>
        </w:rPr>
        <w:t xml:space="preserve"> </w:t>
      </w:r>
      <w:r>
        <w:rPr>
          <w:rFonts w:ascii="Times New Roman" w:eastAsia="TimesNRMTPro" w:hAnsi="Times New Roman"/>
          <w:szCs w:val="24"/>
          <w:lang w:val="en-GB"/>
        </w:rPr>
        <w:t>ijara (lease) and istisna (financing of work in progress),</w:t>
      </w:r>
      <w:r w:rsidR="003045A9">
        <w:rPr>
          <w:rFonts w:ascii="Times New Roman" w:eastAsia="TimesNRMTPro" w:hAnsi="Times New Roman"/>
          <w:szCs w:val="24"/>
          <w:lang w:val="en-GB"/>
        </w:rPr>
        <w:t xml:space="preserve"> imply that a bank holds an interes</w:t>
      </w:r>
      <w:r>
        <w:rPr>
          <w:rFonts w:ascii="Times New Roman" w:eastAsia="TimesNRMTPro" w:hAnsi="Times New Roman"/>
          <w:szCs w:val="24"/>
          <w:lang w:val="en-GB"/>
        </w:rPr>
        <w:t>t in real assets for a long period of time</w:t>
      </w:r>
      <w:r w:rsidR="00A91E91">
        <w:rPr>
          <w:rFonts w:ascii="Times New Roman" w:eastAsia="TimesNRMTPro" w:hAnsi="Times New Roman"/>
          <w:szCs w:val="24"/>
          <w:lang w:val="en-GB"/>
        </w:rPr>
        <w:t xml:space="preserve">, which </w:t>
      </w:r>
      <w:r w:rsidR="00565BCB">
        <w:rPr>
          <w:rFonts w:ascii="Times New Roman" w:eastAsia="TimesNRMTPro" w:hAnsi="Times New Roman"/>
          <w:szCs w:val="24"/>
          <w:lang w:val="en-GB"/>
        </w:rPr>
        <w:t xml:space="preserve"> </w:t>
      </w:r>
      <w:r w:rsidR="00A91E91">
        <w:rPr>
          <w:rFonts w:ascii="Times New Roman" w:eastAsia="TimesNRMTPro" w:hAnsi="Times New Roman"/>
          <w:szCs w:val="24"/>
          <w:lang w:val="en-GB"/>
        </w:rPr>
        <w:t xml:space="preserve">may be outright forbidden or be subject to onerous capital-asset requirements </w:t>
      </w:r>
      <w:r w:rsidR="00565BCB">
        <w:rPr>
          <w:rFonts w:ascii="Times New Roman" w:eastAsia="TimesNRMTPro" w:hAnsi="Times New Roman"/>
          <w:szCs w:val="24"/>
          <w:lang w:val="en-GB"/>
        </w:rPr>
        <w:t>(Khan, 2010)</w:t>
      </w:r>
      <w:r w:rsidR="003045A9">
        <w:rPr>
          <w:rFonts w:ascii="Times New Roman" w:eastAsia="TimesNRMTPro" w:hAnsi="Times New Roman"/>
          <w:szCs w:val="24"/>
          <w:lang w:val="en-GB"/>
        </w:rPr>
        <w:t xml:space="preserve">. </w:t>
      </w:r>
      <w:r w:rsidR="00A91E91">
        <w:rPr>
          <w:rFonts w:ascii="Times New Roman" w:eastAsia="TimesNRMTPro" w:hAnsi="Times New Roman"/>
          <w:szCs w:val="24"/>
          <w:lang w:val="en-GB"/>
        </w:rPr>
        <w:t>Banks may furthermore not be allowed to act as a goods trader, as in Bosnia (Klepic, 2009), and thus be unable to provide murabaha</w:t>
      </w:r>
      <w:r w:rsidR="00DF6BC1">
        <w:rPr>
          <w:rFonts w:ascii="Times New Roman" w:eastAsia="TimesNRMTPro" w:hAnsi="Times New Roman"/>
          <w:szCs w:val="24"/>
          <w:lang w:val="en-GB"/>
        </w:rPr>
        <w:t xml:space="preserve"> finance </w:t>
      </w:r>
      <w:r w:rsidR="00A91E91">
        <w:rPr>
          <w:rFonts w:ascii="Times New Roman" w:eastAsia="TimesNRMTPro" w:hAnsi="Times New Roman"/>
          <w:szCs w:val="24"/>
          <w:lang w:val="en-GB"/>
        </w:rPr>
        <w:t>(purchase and sale with a mark-up,</w:t>
      </w:r>
      <w:r w:rsidR="00DF6BC1">
        <w:rPr>
          <w:rFonts w:ascii="Times New Roman" w:eastAsia="TimesNRMTPro" w:hAnsi="Times New Roman"/>
          <w:szCs w:val="24"/>
          <w:lang w:val="en-GB"/>
        </w:rPr>
        <w:t xml:space="preserve"> usually against deferred payment).</w:t>
      </w:r>
    </w:p>
    <w:p w:rsidR="00565BCB" w:rsidRPr="001F1549" w:rsidRDefault="00565BCB" w:rsidP="00F516B0">
      <w:pPr>
        <w:spacing w:line="288" w:lineRule="auto"/>
        <w:ind w:firstLine="210"/>
        <w:rPr>
          <w:rFonts w:ascii="Times New Roman" w:eastAsia="TimesNRMTPro" w:hAnsi="Times New Roman"/>
          <w:caps/>
          <w:szCs w:val="24"/>
          <w:lang w:val="en-GB"/>
        </w:rPr>
      </w:pPr>
      <w:r>
        <w:rPr>
          <w:rFonts w:ascii="Times New Roman" w:eastAsia="TimesNRMTPro" w:hAnsi="Times New Roman"/>
          <w:szCs w:val="24"/>
          <w:lang w:val="en-GB"/>
        </w:rPr>
        <w:t xml:space="preserve">An issue that calls for special attention is the relationship between an Islamic bank and the central bank. </w:t>
      </w:r>
    </w:p>
    <w:p w:rsidR="004F19AD" w:rsidRDefault="008812FE" w:rsidP="004F19AD">
      <w:pPr>
        <w:spacing w:line="288" w:lineRule="auto"/>
        <w:rPr>
          <w:rFonts w:ascii="Times New Roman" w:eastAsia="TimesNRMTPro" w:hAnsi="Times New Roman"/>
          <w:szCs w:val="24"/>
          <w:lang w:val="en-GB"/>
        </w:rPr>
      </w:pPr>
      <w:r>
        <w:rPr>
          <w:rFonts w:ascii="Times New Roman" w:eastAsia="TimesNRMTPro" w:hAnsi="Times New Roman"/>
          <w:szCs w:val="24"/>
          <w:lang w:val="en-GB"/>
        </w:rPr>
        <w:tab/>
      </w:r>
    </w:p>
    <w:p w:rsidR="0007605A" w:rsidRPr="00DF6BC1" w:rsidRDefault="00DF6BC1" w:rsidP="002D694F">
      <w:pPr>
        <w:spacing w:line="288" w:lineRule="auto"/>
        <w:rPr>
          <w:rFonts w:ascii="Times New Roman" w:eastAsia="TimesNRMTPro" w:hAnsi="Times New Roman"/>
          <w:b/>
          <w:szCs w:val="24"/>
          <w:lang w:val="en-GB"/>
        </w:rPr>
      </w:pPr>
      <w:r w:rsidRPr="00DF6BC1">
        <w:rPr>
          <w:rFonts w:ascii="Times New Roman" w:eastAsia="TimesNRMTPro" w:hAnsi="Times New Roman"/>
          <w:b/>
          <w:szCs w:val="24"/>
          <w:lang w:val="en-GB"/>
        </w:rPr>
        <w:t>3.L</w:t>
      </w:r>
      <w:r w:rsidR="0007605A" w:rsidRPr="00DF6BC1">
        <w:rPr>
          <w:rFonts w:ascii="Times New Roman" w:eastAsia="TimesNRMTPro" w:hAnsi="Times New Roman"/>
          <w:b/>
          <w:szCs w:val="24"/>
          <w:lang w:val="en-GB"/>
        </w:rPr>
        <w:t>egal issues</w:t>
      </w:r>
      <w:r w:rsidR="00672F28" w:rsidRPr="00DF6BC1">
        <w:rPr>
          <w:rFonts w:ascii="Times New Roman" w:eastAsia="TimesNRMTPro" w:hAnsi="Times New Roman"/>
          <w:b/>
          <w:szCs w:val="24"/>
          <w:lang w:val="en-GB"/>
        </w:rPr>
        <w:t>: substance over form?</w:t>
      </w:r>
    </w:p>
    <w:p w:rsidR="008812FE" w:rsidRDefault="008D303F" w:rsidP="002D694F">
      <w:pPr>
        <w:spacing w:line="288" w:lineRule="auto"/>
        <w:rPr>
          <w:rFonts w:ascii="Times New Roman" w:eastAsia="TimesNRMTPro" w:hAnsi="Times New Roman"/>
          <w:szCs w:val="24"/>
          <w:lang w:val="en-GB"/>
        </w:rPr>
      </w:pPr>
      <w:r>
        <w:rPr>
          <w:rFonts w:ascii="Times New Roman" w:eastAsia="TimesNRMTPro" w:hAnsi="Times New Roman"/>
          <w:szCs w:val="24"/>
          <w:lang w:val="en-GB"/>
        </w:rPr>
        <w:t xml:space="preserve">A very important question is whether </w:t>
      </w:r>
      <w:r w:rsidR="00672F28">
        <w:rPr>
          <w:rFonts w:ascii="Times New Roman" w:eastAsia="TimesNRMTPro" w:hAnsi="Times New Roman"/>
          <w:szCs w:val="24"/>
          <w:lang w:val="en-GB"/>
        </w:rPr>
        <w:t>legislation allows</w:t>
      </w:r>
      <w:r w:rsidR="00DF6BC1">
        <w:rPr>
          <w:rFonts w:ascii="Times New Roman" w:eastAsia="TimesNRMTPro" w:hAnsi="Times New Roman"/>
          <w:szCs w:val="24"/>
          <w:lang w:val="en-GB"/>
        </w:rPr>
        <w:t>,</w:t>
      </w:r>
      <w:r w:rsidR="00672F28">
        <w:rPr>
          <w:rFonts w:ascii="Times New Roman" w:eastAsia="TimesNRMTPro" w:hAnsi="Times New Roman"/>
          <w:szCs w:val="24"/>
          <w:lang w:val="en-GB"/>
        </w:rPr>
        <w:t xml:space="preserve"> and courts apply</w:t>
      </w:r>
      <w:r w:rsidR="00DF6BC1">
        <w:rPr>
          <w:rFonts w:ascii="Times New Roman" w:eastAsia="TimesNRMTPro" w:hAnsi="Times New Roman"/>
          <w:szCs w:val="24"/>
          <w:lang w:val="en-GB"/>
        </w:rPr>
        <w:t>,</w:t>
      </w:r>
      <w:r w:rsidR="00672F28">
        <w:rPr>
          <w:rFonts w:ascii="Times New Roman" w:eastAsia="TimesNRMTPro" w:hAnsi="Times New Roman"/>
          <w:szCs w:val="24"/>
          <w:lang w:val="en-GB"/>
        </w:rPr>
        <w:t xml:space="preserve"> a substance over form approach</w:t>
      </w:r>
      <w:r w:rsidR="00AA7450">
        <w:rPr>
          <w:rFonts w:ascii="Times New Roman" w:eastAsia="TimesNRMTPro" w:hAnsi="Times New Roman"/>
          <w:szCs w:val="24"/>
          <w:lang w:val="en-GB"/>
        </w:rPr>
        <w:t xml:space="preserve">. The United States tends to be very liberal in </w:t>
      </w:r>
      <w:r w:rsidR="00271659">
        <w:rPr>
          <w:rFonts w:ascii="Times New Roman" w:eastAsia="TimesNRMTPro" w:hAnsi="Times New Roman"/>
          <w:szCs w:val="24"/>
          <w:lang w:val="en-GB"/>
        </w:rPr>
        <w:t>this regard</w:t>
      </w:r>
      <w:r w:rsidR="00AA7450">
        <w:rPr>
          <w:rFonts w:ascii="Times New Roman" w:eastAsia="TimesNRMTPro" w:hAnsi="Times New Roman"/>
          <w:szCs w:val="24"/>
          <w:lang w:val="en-GB"/>
        </w:rPr>
        <w:t xml:space="preserve"> (McMillen</w:t>
      </w:r>
      <w:r w:rsidR="00D97275">
        <w:rPr>
          <w:rFonts w:ascii="Times New Roman" w:eastAsia="TimesNRMTPro" w:hAnsi="Times New Roman"/>
          <w:szCs w:val="24"/>
          <w:lang w:val="en-GB"/>
        </w:rPr>
        <w:t>,</w:t>
      </w:r>
      <w:r w:rsidR="00AA7450">
        <w:rPr>
          <w:rFonts w:ascii="Times New Roman" w:eastAsia="TimesNRMTPro" w:hAnsi="Times New Roman"/>
          <w:szCs w:val="24"/>
          <w:lang w:val="en-GB"/>
        </w:rPr>
        <w:t xml:space="preserve"> 2015</w:t>
      </w:r>
      <w:r w:rsidR="00D97275">
        <w:rPr>
          <w:rFonts w:ascii="Times New Roman" w:eastAsia="TimesNRMTPro" w:hAnsi="Times New Roman"/>
          <w:szCs w:val="24"/>
          <w:lang w:val="en-GB"/>
        </w:rPr>
        <w:t>;</w:t>
      </w:r>
      <w:r w:rsidR="00AC307B">
        <w:rPr>
          <w:rFonts w:ascii="Times New Roman" w:eastAsia="TimesNRMTPro" w:hAnsi="Times New Roman"/>
          <w:szCs w:val="24"/>
          <w:lang w:val="en-GB"/>
        </w:rPr>
        <w:t xml:space="preserve"> Thomas</w:t>
      </w:r>
      <w:r w:rsidR="00D97275">
        <w:rPr>
          <w:rFonts w:ascii="Times New Roman" w:eastAsia="TimesNRMTPro" w:hAnsi="Times New Roman"/>
          <w:szCs w:val="24"/>
          <w:lang w:val="en-GB"/>
        </w:rPr>
        <w:t>,</w:t>
      </w:r>
      <w:r w:rsidR="00AC307B">
        <w:rPr>
          <w:rFonts w:ascii="Times New Roman" w:eastAsia="TimesNRMTPro" w:hAnsi="Times New Roman"/>
          <w:szCs w:val="24"/>
          <w:lang w:val="en-GB"/>
        </w:rPr>
        <w:t xml:space="preserve"> 2001</w:t>
      </w:r>
      <w:r w:rsidR="00AA7450">
        <w:rPr>
          <w:rFonts w:ascii="Times New Roman" w:eastAsia="TimesNRMTPro" w:hAnsi="Times New Roman"/>
          <w:szCs w:val="24"/>
          <w:lang w:val="en-GB"/>
        </w:rPr>
        <w:t>).</w:t>
      </w:r>
      <w:r w:rsidR="00271659">
        <w:rPr>
          <w:rFonts w:ascii="Times New Roman" w:eastAsia="TimesNRMTPro" w:hAnsi="Times New Roman"/>
          <w:szCs w:val="24"/>
          <w:lang w:val="en-GB"/>
        </w:rPr>
        <w:t xml:space="preserve"> In Europe, Luxembourg and the Netherlands stand out as champions of the substance-over-form approach. </w:t>
      </w:r>
      <w:r w:rsidR="00DC7BD8">
        <w:rPr>
          <w:rFonts w:ascii="Times New Roman" w:eastAsia="TimesNRMTPro" w:hAnsi="Times New Roman"/>
          <w:szCs w:val="24"/>
          <w:lang w:val="en-GB"/>
        </w:rPr>
        <w:t>Nevertheless</w:t>
      </w:r>
      <w:r w:rsidR="00271659">
        <w:rPr>
          <w:rFonts w:ascii="Times New Roman" w:eastAsia="TimesNRMTPro" w:hAnsi="Times New Roman"/>
          <w:szCs w:val="24"/>
          <w:lang w:val="en-GB"/>
        </w:rPr>
        <w:t>, t</w:t>
      </w:r>
      <w:r w:rsidR="00AC307B">
        <w:rPr>
          <w:rFonts w:ascii="Times New Roman" w:eastAsia="TimesNRMTPro" w:hAnsi="Times New Roman"/>
          <w:szCs w:val="24"/>
          <w:lang w:val="en-GB"/>
        </w:rPr>
        <w:t>he Dutch t</w:t>
      </w:r>
      <w:r w:rsidR="00D97275">
        <w:rPr>
          <w:rFonts w:ascii="Times New Roman" w:eastAsia="TimesNRMTPro" w:hAnsi="Times New Roman"/>
          <w:szCs w:val="24"/>
          <w:lang w:val="en-GB"/>
        </w:rPr>
        <w:t>ax authorities do not</w:t>
      </w:r>
      <w:r w:rsidR="00AC307B">
        <w:rPr>
          <w:rFonts w:ascii="Times New Roman" w:eastAsia="TimesNRMTPro" w:hAnsi="Times New Roman"/>
          <w:szCs w:val="24"/>
          <w:lang w:val="en-GB"/>
        </w:rPr>
        <w:t xml:space="preserve"> feel free </w:t>
      </w:r>
      <w:r w:rsidR="008B1F2B">
        <w:rPr>
          <w:rFonts w:ascii="Times New Roman" w:eastAsia="TimesNRMTPro" w:hAnsi="Times New Roman"/>
          <w:szCs w:val="24"/>
          <w:lang w:val="en-GB"/>
        </w:rPr>
        <w:t>to treat Islamic substitutes for conventional interest payments on home finance contracts as equivalent to interest</w:t>
      </w:r>
      <w:r w:rsidR="00DC7BD8">
        <w:rPr>
          <w:rFonts w:ascii="Times New Roman" w:eastAsia="TimesNRMTPro" w:hAnsi="Times New Roman"/>
          <w:szCs w:val="24"/>
          <w:lang w:val="en-GB"/>
        </w:rPr>
        <w:t>. This is</w:t>
      </w:r>
      <w:r w:rsidR="008B1F2B">
        <w:rPr>
          <w:rFonts w:ascii="Times New Roman" w:eastAsia="TimesNRMTPro" w:hAnsi="Times New Roman"/>
          <w:szCs w:val="24"/>
          <w:lang w:val="en-GB"/>
        </w:rPr>
        <w:t xml:space="preserve"> because Dutch real estate law gives a very narrow and exact definition of interest</w:t>
      </w:r>
      <w:r w:rsidR="00F24888">
        <w:rPr>
          <w:rFonts w:ascii="Times New Roman" w:eastAsia="TimesNRMTPro" w:hAnsi="Times New Roman"/>
          <w:szCs w:val="24"/>
          <w:lang w:val="en-GB"/>
        </w:rPr>
        <w:t xml:space="preserve">. If a lease element is involved, as </w:t>
      </w:r>
      <w:r w:rsidR="00B04F44">
        <w:rPr>
          <w:rFonts w:ascii="Times New Roman" w:eastAsia="TimesNRMTPro" w:hAnsi="Times New Roman"/>
          <w:szCs w:val="24"/>
          <w:lang w:val="en-GB"/>
        </w:rPr>
        <w:t xml:space="preserve">is the case </w:t>
      </w:r>
      <w:r w:rsidR="00F24888">
        <w:rPr>
          <w:rFonts w:ascii="Times New Roman" w:eastAsia="TimesNRMTPro" w:hAnsi="Times New Roman"/>
          <w:szCs w:val="24"/>
          <w:lang w:val="en-GB"/>
        </w:rPr>
        <w:t xml:space="preserve">in </w:t>
      </w:r>
      <w:r w:rsidR="003D30D7" w:rsidRPr="00D97275">
        <w:rPr>
          <w:rFonts w:ascii="Times New Roman" w:eastAsia="TimesNRMTPro" w:hAnsi="Times New Roman"/>
          <w:szCs w:val="24"/>
          <w:lang w:val="en-GB"/>
        </w:rPr>
        <w:t>ijara wa iqtina</w:t>
      </w:r>
      <w:r w:rsidR="003D30D7">
        <w:rPr>
          <w:rFonts w:ascii="Times New Roman" w:eastAsia="TimesNRMTPro" w:hAnsi="Times New Roman"/>
          <w:i/>
          <w:szCs w:val="24"/>
          <w:lang w:val="en-GB"/>
        </w:rPr>
        <w:t xml:space="preserve"> </w:t>
      </w:r>
      <w:r w:rsidR="003D30D7">
        <w:rPr>
          <w:rFonts w:ascii="Times New Roman" w:eastAsia="TimesNRMTPro" w:hAnsi="Times New Roman"/>
          <w:szCs w:val="24"/>
          <w:lang w:val="en-GB"/>
        </w:rPr>
        <w:t xml:space="preserve">(hire purchase) </w:t>
      </w:r>
      <w:r w:rsidR="00B04F44">
        <w:rPr>
          <w:rFonts w:ascii="Times New Roman" w:eastAsia="TimesNRMTPro" w:hAnsi="Times New Roman"/>
          <w:szCs w:val="24"/>
          <w:lang w:val="en-GB"/>
        </w:rPr>
        <w:t>and</w:t>
      </w:r>
      <w:r w:rsidR="008B1F2B">
        <w:rPr>
          <w:rFonts w:ascii="Times New Roman" w:eastAsia="TimesNRMTPro" w:hAnsi="Times New Roman"/>
          <w:szCs w:val="24"/>
          <w:lang w:val="en-GB"/>
        </w:rPr>
        <w:t xml:space="preserve"> </w:t>
      </w:r>
      <w:r w:rsidR="00F24888" w:rsidRPr="00D97275">
        <w:rPr>
          <w:rFonts w:ascii="Times New Roman" w:eastAsia="TimesNRMTPro" w:hAnsi="Times New Roman"/>
          <w:szCs w:val="24"/>
          <w:lang w:val="en-GB"/>
        </w:rPr>
        <w:t>musharaka mutanaqisah</w:t>
      </w:r>
      <w:r w:rsidR="00D97275">
        <w:rPr>
          <w:rFonts w:ascii="Times New Roman" w:eastAsia="TimesNRMTPro" w:hAnsi="Times New Roman"/>
          <w:szCs w:val="24"/>
          <w:lang w:val="en-GB"/>
        </w:rPr>
        <w:t xml:space="preserve"> (dimin</w:t>
      </w:r>
      <w:r w:rsidR="00B04F44">
        <w:rPr>
          <w:rFonts w:ascii="Times New Roman" w:eastAsia="TimesNRMTPro" w:hAnsi="Times New Roman"/>
          <w:szCs w:val="24"/>
          <w:lang w:val="en-GB"/>
        </w:rPr>
        <w:t>i</w:t>
      </w:r>
      <w:r w:rsidR="00D97275">
        <w:rPr>
          <w:rFonts w:ascii="Times New Roman" w:eastAsia="TimesNRMTPro" w:hAnsi="Times New Roman"/>
          <w:szCs w:val="24"/>
          <w:lang w:val="en-GB"/>
        </w:rPr>
        <w:t>shing partnership)</w:t>
      </w:r>
      <w:r w:rsidR="00B04F44">
        <w:rPr>
          <w:rFonts w:ascii="Times New Roman" w:eastAsia="TimesNRMTPro" w:hAnsi="Times New Roman"/>
          <w:szCs w:val="24"/>
          <w:lang w:val="en-GB"/>
        </w:rPr>
        <w:t xml:space="preserve"> home finance, </w:t>
      </w:r>
      <w:r w:rsidR="00F24888">
        <w:rPr>
          <w:rFonts w:ascii="Times New Roman" w:eastAsia="TimesNRMTPro" w:hAnsi="Times New Roman"/>
          <w:szCs w:val="24"/>
          <w:lang w:val="en-GB"/>
        </w:rPr>
        <w:t xml:space="preserve"> the law </w:t>
      </w:r>
      <w:r w:rsidR="005C0904">
        <w:rPr>
          <w:rFonts w:ascii="Times New Roman" w:eastAsia="TimesNRMTPro" w:hAnsi="Times New Roman"/>
          <w:szCs w:val="24"/>
          <w:lang w:val="en-GB"/>
        </w:rPr>
        <w:t xml:space="preserve">for instance </w:t>
      </w:r>
      <w:r w:rsidR="00F24888">
        <w:rPr>
          <w:rFonts w:ascii="Times New Roman" w:eastAsia="TimesNRMTPro" w:hAnsi="Times New Roman"/>
          <w:szCs w:val="24"/>
          <w:lang w:val="en-GB"/>
        </w:rPr>
        <w:t>very explicitly requires</w:t>
      </w:r>
      <w:r w:rsidR="00B04F44">
        <w:rPr>
          <w:rFonts w:ascii="Times New Roman" w:eastAsia="TimesNRMTPro" w:hAnsi="Times New Roman"/>
          <w:szCs w:val="24"/>
          <w:lang w:val="en-GB"/>
        </w:rPr>
        <w:t xml:space="preserve"> the financier</w:t>
      </w:r>
      <w:r w:rsidR="00F24888">
        <w:rPr>
          <w:rFonts w:ascii="Times New Roman" w:eastAsia="TimesNRMTPro" w:hAnsi="Times New Roman"/>
          <w:szCs w:val="24"/>
          <w:lang w:val="en-GB"/>
        </w:rPr>
        <w:t xml:space="preserve"> to s</w:t>
      </w:r>
      <w:r w:rsidR="00E7605E">
        <w:rPr>
          <w:rFonts w:ascii="Times New Roman" w:eastAsia="TimesNRMTPro" w:hAnsi="Times New Roman"/>
          <w:szCs w:val="24"/>
          <w:lang w:val="en-GB"/>
        </w:rPr>
        <w:t>tate which amount of the rental serves as interest payment</w:t>
      </w:r>
      <w:r w:rsidR="00B07F45">
        <w:rPr>
          <w:rFonts w:ascii="Times New Roman" w:eastAsia="TimesNRMTPro" w:hAnsi="Times New Roman"/>
          <w:szCs w:val="24"/>
          <w:lang w:val="en-GB"/>
        </w:rPr>
        <w:t>.</w:t>
      </w:r>
      <w:r w:rsidR="005C0904">
        <w:rPr>
          <w:rFonts w:ascii="Times New Roman" w:eastAsia="TimesNRMTPro" w:hAnsi="Times New Roman"/>
          <w:szCs w:val="24"/>
          <w:lang w:val="en-GB"/>
        </w:rPr>
        <w:t xml:space="preserve"> </w:t>
      </w:r>
      <w:r w:rsidR="005C0904" w:rsidRPr="00B04F44">
        <w:rPr>
          <w:rFonts w:ascii="Times New Roman" w:eastAsia="TimesNRMTPro" w:hAnsi="Times New Roman"/>
          <w:szCs w:val="24"/>
          <w:lang w:val="en-GB"/>
        </w:rPr>
        <w:t>Murabaha</w:t>
      </w:r>
      <w:r w:rsidR="005C0904">
        <w:rPr>
          <w:rFonts w:ascii="Times New Roman" w:eastAsia="TimesNRMTPro" w:hAnsi="Times New Roman"/>
          <w:i/>
          <w:szCs w:val="24"/>
          <w:lang w:val="en-GB"/>
        </w:rPr>
        <w:t xml:space="preserve"> </w:t>
      </w:r>
      <w:r w:rsidR="005C0904">
        <w:rPr>
          <w:rFonts w:ascii="Times New Roman" w:eastAsia="TimesNRMTPro" w:hAnsi="Times New Roman"/>
          <w:szCs w:val="24"/>
          <w:lang w:val="en-GB"/>
        </w:rPr>
        <w:t xml:space="preserve">contracts </w:t>
      </w:r>
      <w:r w:rsidR="00B04F44">
        <w:rPr>
          <w:rFonts w:ascii="Times New Roman" w:eastAsia="TimesNRMTPro" w:hAnsi="Times New Roman"/>
          <w:szCs w:val="24"/>
          <w:lang w:val="en-GB"/>
        </w:rPr>
        <w:t>are subject to the same requirement</w:t>
      </w:r>
      <w:r w:rsidR="005C0904">
        <w:rPr>
          <w:rFonts w:ascii="Times New Roman" w:eastAsia="TimesNRMTPro" w:hAnsi="Times New Roman"/>
          <w:szCs w:val="24"/>
          <w:lang w:val="en-GB"/>
        </w:rPr>
        <w:t>.</w:t>
      </w:r>
      <w:r w:rsidR="008344B2">
        <w:rPr>
          <w:rFonts w:ascii="Times New Roman" w:eastAsia="TimesNRMTPro" w:hAnsi="Times New Roman"/>
          <w:szCs w:val="24"/>
          <w:lang w:val="en-GB"/>
        </w:rPr>
        <w:t xml:space="preserve"> As an aside, applying a substance over form approach would not help much </w:t>
      </w:r>
      <w:r w:rsidR="00DC7BD8">
        <w:rPr>
          <w:rFonts w:ascii="Times New Roman" w:eastAsia="TimesNRMTPro" w:hAnsi="Times New Roman"/>
          <w:szCs w:val="24"/>
          <w:lang w:val="en-GB"/>
        </w:rPr>
        <w:t>if a lease element is involved</w:t>
      </w:r>
      <w:r w:rsidR="008344B2">
        <w:rPr>
          <w:rFonts w:ascii="Times New Roman" w:eastAsia="TimesNRMTPro" w:hAnsi="Times New Roman"/>
          <w:szCs w:val="24"/>
          <w:lang w:val="en-GB"/>
        </w:rPr>
        <w:t xml:space="preserve">, as </w:t>
      </w:r>
      <w:r w:rsidR="00B07F45">
        <w:rPr>
          <w:rFonts w:ascii="Times New Roman" w:eastAsia="TimesNRMTPro" w:hAnsi="Times New Roman"/>
          <w:szCs w:val="24"/>
          <w:lang w:val="en-GB"/>
        </w:rPr>
        <w:t>tax deductibility</w:t>
      </w:r>
      <w:r w:rsidR="008344B2">
        <w:rPr>
          <w:rFonts w:ascii="Times New Roman" w:eastAsia="TimesNRMTPro" w:hAnsi="Times New Roman"/>
          <w:szCs w:val="24"/>
          <w:lang w:val="en-GB"/>
        </w:rPr>
        <w:t xml:space="preserve"> of interest and other costs of home finance</w:t>
      </w:r>
      <w:r w:rsidR="00B07F45">
        <w:rPr>
          <w:rFonts w:ascii="Times New Roman" w:eastAsia="TimesNRMTPro" w:hAnsi="Times New Roman"/>
          <w:szCs w:val="24"/>
          <w:lang w:val="en-GB"/>
        </w:rPr>
        <w:t xml:space="preserve"> is only available</w:t>
      </w:r>
      <w:r w:rsidR="008344B2">
        <w:rPr>
          <w:rFonts w:ascii="Times New Roman" w:eastAsia="TimesNRMTPro" w:hAnsi="Times New Roman"/>
          <w:szCs w:val="24"/>
          <w:lang w:val="en-GB"/>
        </w:rPr>
        <w:t xml:space="preserve"> to Dutch home</w:t>
      </w:r>
      <w:r w:rsidR="00B07F45">
        <w:rPr>
          <w:rFonts w:ascii="Times New Roman" w:eastAsia="TimesNRMTPro" w:hAnsi="Times New Roman"/>
          <w:szCs w:val="24"/>
          <w:lang w:val="en-GB"/>
        </w:rPr>
        <w:t xml:space="preserve"> buyer</w:t>
      </w:r>
      <w:r w:rsidR="008344B2">
        <w:rPr>
          <w:rFonts w:ascii="Times New Roman" w:eastAsia="TimesNRMTPro" w:hAnsi="Times New Roman"/>
          <w:szCs w:val="24"/>
          <w:lang w:val="en-GB"/>
        </w:rPr>
        <w:t>s if they</w:t>
      </w:r>
      <w:r w:rsidR="00B07F45">
        <w:rPr>
          <w:rFonts w:ascii="Times New Roman" w:eastAsia="TimesNRMTPro" w:hAnsi="Times New Roman"/>
          <w:szCs w:val="24"/>
          <w:lang w:val="en-GB"/>
        </w:rPr>
        <w:t xml:space="preserve"> own at least 50% of the object </w:t>
      </w:r>
      <w:r w:rsidR="008B1F2B">
        <w:rPr>
          <w:rFonts w:ascii="Times New Roman" w:eastAsia="TimesNRMTPro" w:hAnsi="Times New Roman"/>
          <w:szCs w:val="24"/>
          <w:lang w:val="en-GB"/>
        </w:rPr>
        <w:t>(Kranenborg and Talal</w:t>
      </w:r>
      <w:r w:rsidR="008344B2">
        <w:rPr>
          <w:rFonts w:ascii="Times New Roman" w:eastAsia="TimesNRMTPro" w:hAnsi="Times New Roman"/>
          <w:szCs w:val="24"/>
          <w:lang w:val="en-GB"/>
        </w:rPr>
        <w:t>,</w:t>
      </w:r>
      <w:r w:rsidR="008B1F2B">
        <w:rPr>
          <w:rFonts w:ascii="Times New Roman" w:eastAsia="TimesNRMTPro" w:hAnsi="Times New Roman"/>
          <w:szCs w:val="24"/>
          <w:lang w:val="en-GB"/>
        </w:rPr>
        <w:t xml:space="preserve"> 2007).</w:t>
      </w:r>
      <w:r w:rsidR="00632369">
        <w:rPr>
          <w:rFonts w:ascii="Times New Roman" w:eastAsia="TimesNRMTPro" w:hAnsi="Times New Roman"/>
          <w:szCs w:val="24"/>
          <w:lang w:val="en-GB"/>
        </w:rPr>
        <w:t xml:space="preserve"> </w:t>
      </w:r>
      <w:r w:rsidR="00CE1A51">
        <w:rPr>
          <w:rFonts w:ascii="Times New Roman" w:eastAsia="TimesNRMTPro" w:hAnsi="Times New Roman"/>
          <w:szCs w:val="24"/>
          <w:lang w:val="en-GB"/>
        </w:rPr>
        <w:t xml:space="preserve">A </w:t>
      </w:r>
      <w:r w:rsidR="00B07F45">
        <w:rPr>
          <w:rFonts w:ascii="Times New Roman" w:eastAsia="TimesNRMTPro" w:hAnsi="Times New Roman"/>
          <w:szCs w:val="24"/>
          <w:lang w:val="en-GB"/>
        </w:rPr>
        <w:t xml:space="preserve"> revision of the laws and regulations pertaining to tax and real estate issues would be complex and time-consuming, which does little to convince politicians and civil servants that</w:t>
      </w:r>
      <w:r w:rsidR="008344B2">
        <w:rPr>
          <w:rFonts w:ascii="Times New Roman" w:eastAsia="TimesNRMTPro" w:hAnsi="Times New Roman"/>
          <w:szCs w:val="24"/>
          <w:lang w:val="en-GB"/>
        </w:rPr>
        <w:t xml:space="preserve"> it is worth pursuing, given also</w:t>
      </w:r>
      <w:r w:rsidR="00B07F45">
        <w:rPr>
          <w:rFonts w:ascii="Times New Roman" w:eastAsia="TimesNRMTPro" w:hAnsi="Times New Roman"/>
          <w:szCs w:val="24"/>
          <w:lang w:val="en-GB"/>
        </w:rPr>
        <w:t xml:space="preserve"> the negative attitude of a vociferous part of the public to anything Islamic and the poor prospects for Islamic mortgages in the retail market</w:t>
      </w:r>
      <w:r w:rsidR="0014342C">
        <w:rPr>
          <w:rFonts w:ascii="Times New Roman" w:eastAsia="TimesNRMTPro" w:hAnsi="Times New Roman"/>
          <w:szCs w:val="24"/>
          <w:lang w:val="en-GB"/>
        </w:rPr>
        <w:t xml:space="preserve">, as indicated </w:t>
      </w:r>
      <w:r w:rsidR="00E57C93">
        <w:rPr>
          <w:rFonts w:ascii="Times New Roman" w:eastAsia="TimesNRMTPro" w:hAnsi="Times New Roman"/>
          <w:szCs w:val="24"/>
          <w:lang w:val="en-GB"/>
        </w:rPr>
        <w:t>by the</w:t>
      </w:r>
      <w:r w:rsidR="00B07F45">
        <w:rPr>
          <w:rFonts w:ascii="Times New Roman" w:eastAsia="TimesNRMTPro" w:hAnsi="Times New Roman"/>
          <w:szCs w:val="24"/>
          <w:lang w:val="en-GB"/>
        </w:rPr>
        <w:t xml:space="preserve"> negative experience in the United Kingdom.</w:t>
      </w:r>
      <w:r w:rsidR="00B645F4">
        <w:rPr>
          <w:rFonts w:ascii="Times New Roman" w:eastAsia="TimesNRMTPro" w:hAnsi="Times New Roman"/>
          <w:szCs w:val="24"/>
          <w:lang w:val="en-GB"/>
        </w:rPr>
        <w:t xml:space="preserve"> </w:t>
      </w:r>
      <w:r w:rsidR="00DC7BD8">
        <w:rPr>
          <w:rFonts w:ascii="Times New Roman" w:eastAsia="TimesNRMTPro" w:hAnsi="Times New Roman"/>
          <w:szCs w:val="24"/>
          <w:lang w:val="en-GB"/>
        </w:rPr>
        <w:t>Note</w:t>
      </w:r>
      <w:r w:rsidR="00B645F4">
        <w:rPr>
          <w:rFonts w:ascii="Times New Roman" w:eastAsia="TimesNRMTPro" w:hAnsi="Times New Roman"/>
          <w:szCs w:val="24"/>
          <w:lang w:val="en-GB"/>
        </w:rPr>
        <w:t xml:space="preserve"> </w:t>
      </w:r>
      <w:r w:rsidR="00DC7BD8">
        <w:rPr>
          <w:rFonts w:ascii="Times New Roman" w:eastAsia="TimesNRMTPro" w:hAnsi="Times New Roman"/>
          <w:szCs w:val="24"/>
          <w:lang w:val="en-GB"/>
        </w:rPr>
        <w:t xml:space="preserve">that </w:t>
      </w:r>
      <w:r w:rsidR="00B645F4">
        <w:rPr>
          <w:rFonts w:ascii="Times New Roman" w:eastAsia="TimesNRMTPro" w:hAnsi="Times New Roman"/>
          <w:szCs w:val="24"/>
          <w:lang w:val="en-GB"/>
        </w:rPr>
        <w:t>deductibility</w:t>
      </w:r>
      <w:r w:rsidR="00DC7BD8">
        <w:rPr>
          <w:rFonts w:ascii="Times New Roman" w:eastAsia="TimesNRMTPro" w:hAnsi="Times New Roman"/>
          <w:szCs w:val="24"/>
          <w:lang w:val="en-GB"/>
        </w:rPr>
        <w:t xml:space="preserve"> of interest and other costs of financing</w:t>
      </w:r>
      <w:r w:rsidR="00627143">
        <w:rPr>
          <w:rFonts w:ascii="Times New Roman" w:eastAsia="TimesNRMTPro" w:hAnsi="Times New Roman"/>
          <w:szCs w:val="24"/>
          <w:lang w:val="en-GB"/>
        </w:rPr>
        <w:t xml:space="preserve"> creates other</w:t>
      </w:r>
      <w:r w:rsidR="00DC7BD8">
        <w:rPr>
          <w:rFonts w:ascii="Times New Roman" w:eastAsia="TimesNRMTPro" w:hAnsi="Times New Roman"/>
          <w:szCs w:val="24"/>
          <w:lang w:val="en-GB"/>
        </w:rPr>
        <w:t xml:space="preserve"> </w:t>
      </w:r>
      <w:r w:rsidR="00B645F4">
        <w:rPr>
          <w:rFonts w:ascii="Times New Roman" w:eastAsia="TimesNRMTPro" w:hAnsi="Times New Roman"/>
          <w:szCs w:val="24"/>
          <w:lang w:val="en-GB"/>
        </w:rPr>
        <w:t xml:space="preserve"> problem</w:t>
      </w:r>
      <w:r w:rsidR="00627143">
        <w:rPr>
          <w:rFonts w:ascii="Times New Roman" w:eastAsia="TimesNRMTPro" w:hAnsi="Times New Roman"/>
          <w:szCs w:val="24"/>
          <w:lang w:val="en-GB"/>
        </w:rPr>
        <w:t>s</w:t>
      </w:r>
      <w:r w:rsidR="00B645F4">
        <w:rPr>
          <w:rFonts w:ascii="Times New Roman" w:eastAsia="TimesNRMTPro" w:hAnsi="Times New Roman"/>
          <w:szCs w:val="24"/>
          <w:lang w:val="en-GB"/>
        </w:rPr>
        <w:t>. In general it makes incurring debt</w:t>
      </w:r>
      <w:r w:rsidR="00627143">
        <w:rPr>
          <w:rFonts w:ascii="Times New Roman" w:eastAsia="TimesNRMTPro" w:hAnsi="Times New Roman"/>
          <w:szCs w:val="24"/>
          <w:lang w:val="en-GB"/>
        </w:rPr>
        <w:t xml:space="preserve"> more</w:t>
      </w:r>
      <w:r w:rsidR="00B645F4">
        <w:rPr>
          <w:rFonts w:ascii="Times New Roman" w:eastAsia="TimesNRMTPro" w:hAnsi="Times New Roman"/>
          <w:szCs w:val="24"/>
          <w:lang w:val="en-GB"/>
        </w:rPr>
        <w:t xml:space="preserve"> attractive for both consumers and companies, in the latter case as an altern</w:t>
      </w:r>
      <w:r w:rsidR="00320628">
        <w:rPr>
          <w:rFonts w:ascii="Times New Roman" w:eastAsia="TimesNRMTPro" w:hAnsi="Times New Roman"/>
          <w:szCs w:val="24"/>
          <w:lang w:val="en-GB"/>
        </w:rPr>
        <w:t xml:space="preserve">ative to equity. It makes for </w:t>
      </w:r>
      <w:r w:rsidR="00B645F4">
        <w:rPr>
          <w:rFonts w:ascii="Times New Roman" w:eastAsia="TimesNRMTPro" w:hAnsi="Times New Roman"/>
          <w:szCs w:val="24"/>
          <w:lang w:val="en-GB"/>
        </w:rPr>
        <w:t xml:space="preserve">higher </w:t>
      </w:r>
      <w:r w:rsidR="00892433">
        <w:rPr>
          <w:rFonts w:ascii="Times New Roman" w:eastAsia="TimesNRMTPro" w:hAnsi="Times New Roman"/>
          <w:szCs w:val="24"/>
          <w:lang w:val="en-GB"/>
        </w:rPr>
        <w:t>financial fragility and</w:t>
      </w:r>
      <w:r w:rsidR="00320628">
        <w:rPr>
          <w:rFonts w:ascii="Times New Roman" w:eastAsia="TimesNRMTPro" w:hAnsi="Times New Roman"/>
          <w:szCs w:val="24"/>
          <w:lang w:val="en-GB"/>
        </w:rPr>
        <w:t xml:space="preserve"> </w:t>
      </w:r>
      <w:r w:rsidR="00627143">
        <w:rPr>
          <w:rFonts w:ascii="Times New Roman" w:eastAsia="TimesNRMTPro" w:hAnsi="Times New Roman"/>
          <w:szCs w:val="24"/>
          <w:lang w:val="en-GB"/>
        </w:rPr>
        <w:t>con</w:t>
      </w:r>
      <w:r w:rsidR="00ED2C9F">
        <w:rPr>
          <w:rFonts w:ascii="Times New Roman" w:eastAsia="TimesNRMTPro" w:hAnsi="Times New Roman"/>
          <w:szCs w:val="24"/>
          <w:lang w:val="en-GB"/>
        </w:rPr>
        <w:t>s</w:t>
      </w:r>
      <w:r w:rsidR="00627143">
        <w:rPr>
          <w:rFonts w:ascii="Times New Roman" w:eastAsia="TimesNRMTPro" w:hAnsi="Times New Roman"/>
          <w:szCs w:val="24"/>
          <w:lang w:val="en-GB"/>
        </w:rPr>
        <w:t>equently</w:t>
      </w:r>
      <w:r w:rsidR="00320628">
        <w:rPr>
          <w:rFonts w:ascii="Times New Roman" w:eastAsia="TimesNRMTPro" w:hAnsi="Times New Roman"/>
          <w:szCs w:val="24"/>
          <w:lang w:val="en-GB"/>
        </w:rPr>
        <w:t xml:space="preserve"> for</w:t>
      </w:r>
      <w:r w:rsidR="00892433">
        <w:rPr>
          <w:rFonts w:ascii="Times New Roman" w:eastAsia="TimesNRMTPro" w:hAnsi="Times New Roman"/>
          <w:szCs w:val="24"/>
          <w:lang w:val="en-GB"/>
        </w:rPr>
        <w:t xml:space="preserve"> a higher potential severity of</w:t>
      </w:r>
      <w:r w:rsidR="00B645F4">
        <w:rPr>
          <w:rFonts w:ascii="Times New Roman" w:eastAsia="TimesNRMTPro" w:hAnsi="Times New Roman"/>
          <w:szCs w:val="24"/>
          <w:lang w:val="en-GB"/>
        </w:rPr>
        <w:t xml:space="preserve"> financial crises.</w:t>
      </w:r>
    </w:p>
    <w:p w:rsidR="00B17CBC" w:rsidRDefault="00A0118B" w:rsidP="002D694F">
      <w:pPr>
        <w:spacing w:line="288" w:lineRule="auto"/>
        <w:rPr>
          <w:rFonts w:ascii="Times New Roman" w:eastAsia="TimesNRMTPro" w:hAnsi="Times New Roman"/>
          <w:szCs w:val="24"/>
          <w:lang w:val="en-GB"/>
        </w:rPr>
      </w:pPr>
      <w:r>
        <w:rPr>
          <w:rFonts w:ascii="Times New Roman" w:eastAsia="TimesNRMTPro" w:hAnsi="Times New Roman"/>
          <w:szCs w:val="24"/>
          <w:lang w:val="en-GB"/>
        </w:rPr>
        <w:tab/>
        <w:t>A proble</w:t>
      </w:r>
      <w:r w:rsidR="00B17CBC">
        <w:rPr>
          <w:rFonts w:ascii="Times New Roman" w:eastAsia="TimesNRMTPro" w:hAnsi="Times New Roman"/>
          <w:szCs w:val="24"/>
          <w:lang w:val="en-GB"/>
        </w:rPr>
        <w:t>m</w:t>
      </w:r>
      <w:r>
        <w:rPr>
          <w:rFonts w:ascii="Times New Roman" w:eastAsia="TimesNRMTPro" w:hAnsi="Times New Roman"/>
          <w:szCs w:val="24"/>
          <w:lang w:val="en-GB"/>
        </w:rPr>
        <w:t xml:space="preserve"> </w:t>
      </w:r>
      <w:r w:rsidR="008344B2">
        <w:rPr>
          <w:rFonts w:ascii="Times New Roman" w:eastAsia="TimesNRMTPro" w:hAnsi="Times New Roman"/>
          <w:szCs w:val="24"/>
          <w:lang w:val="en-GB"/>
        </w:rPr>
        <w:t>in</w:t>
      </w:r>
      <w:r>
        <w:rPr>
          <w:rFonts w:ascii="Times New Roman" w:eastAsia="TimesNRMTPro" w:hAnsi="Times New Roman"/>
          <w:szCs w:val="24"/>
          <w:lang w:val="en-GB"/>
        </w:rPr>
        <w:t xml:space="preserve"> some countries</w:t>
      </w:r>
      <w:r w:rsidR="008344B2">
        <w:rPr>
          <w:rFonts w:ascii="Times New Roman" w:eastAsia="TimesNRMTPro" w:hAnsi="Times New Roman"/>
          <w:szCs w:val="24"/>
          <w:lang w:val="en-GB"/>
        </w:rPr>
        <w:t>,</w:t>
      </w:r>
      <w:r>
        <w:rPr>
          <w:rFonts w:ascii="Times New Roman" w:eastAsia="TimesNRMTPro" w:hAnsi="Times New Roman"/>
          <w:szCs w:val="24"/>
          <w:lang w:val="en-GB"/>
        </w:rPr>
        <w:t xml:space="preserve"> including Italy and the Netherlands</w:t>
      </w:r>
      <w:r w:rsidR="008344B2">
        <w:rPr>
          <w:rFonts w:ascii="Times New Roman" w:eastAsia="TimesNRMTPro" w:hAnsi="Times New Roman"/>
          <w:szCs w:val="24"/>
          <w:lang w:val="en-GB"/>
        </w:rPr>
        <w:t>,</w:t>
      </w:r>
      <w:r>
        <w:rPr>
          <w:rFonts w:ascii="Times New Roman" w:eastAsia="TimesNRMTPro" w:hAnsi="Times New Roman"/>
          <w:szCs w:val="24"/>
          <w:lang w:val="en-GB"/>
        </w:rPr>
        <w:t xml:space="preserve"> is that some of the financial in</w:t>
      </w:r>
      <w:r w:rsidR="00A9401F">
        <w:rPr>
          <w:rFonts w:ascii="Times New Roman" w:eastAsia="TimesNRMTPro" w:hAnsi="Times New Roman"/>
          <w:szCs w:val="24"/>
          <w:lang w:val="en-GB"/>
        </w:rPr>
        <w:t>s</w:t>
      </w:r>
      <w:r>
        <w:rPr>
          <w:rFonts w:ascii="Times New Roman" w:eastAsia="TimesNRMTPro" w:hAnsi="Times New Roman"/>
          <w:szCs w:val="24"/>
          <w:lang w:val="en-GB"/>
        </w:rPr>
        <w:t>truments peculiar to Islamic financial institution</w:t>
      </w:r>
      <w:r w:rsidR="00714B32">
        <w:rPr>
          <w:rFonts w:ascii="Times New Roman" w:eastAsia="TimesNRMTPro" w:hAnsi="Times New Roman"/>
          <w:szCs w:val="24"/>
          <w:lang w:val="en-GB"/>
        </w:rPr>
        <w:t>s</w:t>
      </w:r>
      <w:r>
        <w:rPr>
          <w:rFonts w:ascii="Times New Roman" w:eastAsia="TimesNRMTPro" w:hAnsi="Times New Roman"/>
          <w:szCs w:val="24"/>
          <w:lang w:val="en-GB"/>
        </w:rPr>
        <w:t xml:space="preserve"> are incompatible with </w:t>
      </w:r>
      <w:r w:rsidR="00A9401F">
        <w:rPr>
          <w:rFonts w:ascii="Times New Roman" w:eastAsia="TimesNRMTPro" w:hAnsi="Times New Roman"/>
          <w:szCs w:val="24"/>
          <w:lang w:val="en-GB"/>
        </w:rPr>
        <w:t xml:space="preserve">the definition of </w:t>
      </w:r>
      <w:r>
        <w:rPr>
          <w:rFonts w:ascii="Times New Roman" w:eastAsia="TimesNRMTPro" w:hAnsi="Times New Roman"/>
          <w:szCs w:val="24"/>
          <w:lang w:val="en-GB"/>
        </w:rPr>
        <w:t xml:space="preserve">banks </w:t>
      </w:r>
      <w:r w:rsidR="00A9401F">
        <w:rPr>
          <w:rFonts w:ascii="Times New Roman" w:eastAsia="TimesNRMTPro" w:hAnsi="Times New Roman"/>
          <w:szCs w:val="24"/>
          <w:lang w:val="en-GB"/>
        </w:rPr>
        <w:t>in</w:t>
      </w:r>
      <w:r>
        <w:rPr>
          <w:rFonts w:ascii="Times New Roman" w:eastAsia="TimesNRMTPro" w:hAnsi="Times New Roman"/>
          <w:szCs w:val="24"/>
          <w:lang w:val="en-GB"/>
        </w:rPr>
        <w:t xml:space="preserve"> the respective national laws and regulations. </w:t>
      </w:r>
      <w:r w:rsidR="00CA7900">
        <w:rPr>
          <w:rFonts w:ascii="Times New Roman" w:eastAsia="TimesNRMTPro" w:hAnsi="Times New Roman"/>
          <w:szCs w:val="24"/>
          <w:lang w:val="en-GB"/>
        </w:rPr>
        <w:t xml:space="preserve">This may for instance </w:t>
      </w:r>
      <w:r w:rsidR="00A9401F">
        <w:rPr>
          <w:rFonts w:ascii="Times New Roman" w:eastAsia="TimesNRMTPro" w:hAnsi="Times New Roman"/>
          <w:szCs w:val="24"/>
          <w:lang w:val="en-GB"/>
        </w:rPr>
        <w:t>relate to investment funds</w:t>
      </w:r>
      <w:r w:rsidR="003373B5">
        <w:rPr>
          <w:rFonts w:ascii="Times New Roman" w:eastAsia="TimesNRMTPro" w:hAnsi="Times New Roman"/>
          <w:szCs w:val="24"/>
          <w:lang w:val="en-GB"/>
        </w:rPr>
        <w:t xml:space="preserve"> </w:t>
      </w:r>
      <w:r w:rsidR="00A9401F">
        <w:rPr>
          <w:rFonts w:ascii="Times New Roman" w:eastAsia="TimesNRMTPro" w:hAnsi="Times New Roman"/>
          <w:szCs w:val="24"/>
          <w:lang w:val="en-GB"/>
        </w:rPr>
        <w:t>of</w:t>
      </w:r>
      <w:r w:rsidR="003373B5">
        <w:rPr>
          <w:rFonts w:ascii="Times New Roman" w:eastAsia="TimesNRMTPro" w:hAnsi="Times New Roman"/>
          <w:szCs w:val="24"/>
          <w:lang w:val="en-GB"/>
        </w:rPr>
        <w:t xml:space="preserve"> a musharaka</w:t>
      </w:r>
      <w:r w:rsidR="00952A6C">
        <w:rPr>
          <w:rFonts w:ascii="Times New Roman" w:eastAsia="TimesNRMTPro" w:hAnsi="Times New Roman"/>
          <w:szCs w:val="24"/>
          <w:lang w:val="en-GB"/>
        </w:rPr>
        <w:t xml:space="preserve"> (shared ownership)</w:t>
      </w:r>
      <w:r w:rsidR="003373B5">
        <w:rPr>
          <w:rFonts w:ascii="Times New Roman" w:eastAsia="TimesNRMTPro" w:hAnsi="Times New Roman"/>
          <w:szCs w:val="24"/>
          <w:lang w:val="en-GB"/>
        </w:rPr>
        <w:t xml:space="preserve"> </w:t>
      </w:r>
      <w:r w:rsidR="00A9401F">
        <w:rPr>
          <w:rFonts w:ascii="Times New Roman" w:eastAsia="TimesNRMTPro" w:hAnsi="Times New Roman"/>
          <w:szCs w:val="24"/>
          <w:lang w:val="en-GB"/>
        </w:rPr>
        <w:t>character</w:t>
      </w:r>
      <w:r w:rsidR="003373B5">
        <w:rPr>
          <w:rFonts w:ascii="Times New Roman" w:eastAsia="TimesNRMTPro" w:hAnsi="Times New Roman"/>
          <w:szCs w:val="24"/>
          <w:lang w:val="en-GB"/>
        </w:rPr>
        <w:t xml:space="preserve">, if the national law requires banks to reimburse funds </w:t>
      </w:r>
      <w:r w:rsidR="00CE2FA5">
        <w:rPr>
          <w:rFonts w:ascii="Times New Roman" w:eastAsia="TimesNRMTPro" w:hAnsi="Times New Roman"/>
          <w:szCs w:val="24"/>
          <w:lang w:val="en-GB"/>
        </w:rPr>
        <w:t>irrespective of</w:t>
      </w:r>
      <w:r w:rsidR="003373B5">
        <w:rPr>
          <w:rFonts w:ascii="Times New Roman" w:eastAsia="TimesNRMTPro" w:hAnsi="Times New Roman"/>
          <w:szCs w:val="24"/>
          <w:lang w:val="en-GB"/>
        </w:rPr>
        <w:t xml:space="preserve"> the yield of the assets financed by those funds</w:t>
      </w:r>
      <w:r w:rsidR="00194A37">
        <w:rPr>
          <w:rFonts w:ascii="Times New Roman" w:eastAsia="TimesNRMTPro" w:hAnsi="Times New Roman"/>
          <w:szCs w:val="24"/>
          <w:lang w:val="en-GB"/>
        </w:rPr>
        <w:t xml:space="preserve">,  or to an operating lease, which cannot be classified as credit </w:t>
      </w:r>
      <w:r w:rsidR="00CA7900">
        <w:rPr>
          <w:rFonts w:ascii="Times New Roman" w:eastAsia="TimesNRMTPro" w:hAnsi="Times New Roman"/>
          <w:szCs w:val="24"/>
          <w:lang w:val="en-GB"/>
        </w:rPr>
        <w:t>(Gimigliano, 2016; Verhoef et al.</w:t>
      </w:r>
      <w:r w:rsidR="00714B32">
        <w:rPr>
          <w:rFonts w:ascii="Times New Roman" w:eastAsia="TimesNRMTPro" w:hAnsi="Times New Roman"/>
          <w:szCs w:val="24"/>
          <w:lang w:val="en-GB"/>
        </w:rPr>
        <w:t>,</w:t>
      </w:r>
      <w:r w:rsidR="00CA7900">
        <w:rPr>
          <w:rFonts w:ascii="Times New Roman" w:eastAsia="TimesNRMTPro" w:hAnsi="Times New Roman"/>
          <w:szCs w:val="24"/>
          <w:lang w:val="en-GB"/>
        </w:rPr>
        <w:t xml:space="preserve"> 2008).</w:t>
      </w:r>
      <w:r w:rsidR="00714B32">
        <w:rPr>
          <w:rFonts w:ascii="Times New Roman" w:eastAsia="TimesNRMTPro" w:hAnsi="Times New Roman"/>
          <w:szCs w:val="24"/>
          <w:lang w:val="en-GB"/>
        </w:rPr>
        <w:t xml:space="preserve"> In the latter case, it should be relatively easy for an Islamic bank to conform, namely by establishing a</w:t>
      </w:r>
      <w:r w:rsidR="00FC59CA">
        <w:rPr>
          <w:rFonts w:ascii="Times New Roman" w:eastAsia="TimesNRMTPro" w:hAnsi="Times New Roman"/>
          <w:szCs w:val="24"/>
          <w:lang w:val="en-GB"/>
        </w:rPr>
        <w:t xml:space="preserve"> leasing finance firm as a</w:t>
      </w:r>
      <w:r w:rsidR="00714B32">
        <w:rPr>
          <w:rFonts w:ascii="Times New Roman" w:eastAsia="TimesNRMTPro" w:hAnsi="Times New Roman"/>
          <w:szCs w:val="24"/>
          <w:lang w:val="en-GB"/>
        </w:rPr>
        <w:t xml:space="preserve"> daughter company</w:t>
      </w:r>
      <w:r w:rsidR="00FC59CA">
        <w:rPr>
          <w:rFonts w:ascii="Times New Roman" w:eastAsia="TimesNRMTPro" w:hAnsi="Times New Roman"/>
          <w:szCs w:val="24"/>
          <w:lang w:val="en-GB"/>
        </w:rPr>
        <w:t>.</w:t>
      </w:r>
      <w:r w:rsidR="00396557">
        <w:rPr>
          <w:rFonts w:ascii="Times New Roman" w:eastAsia="TimesNRMTPro" w:hAnsi="Times New Roman"/>
          <w:szCs w:val="24"/>
          <w:lang w:val="en-GB"/>
        </w:rPr>
        <w:t xml:space="preserve"> </w:t>
      </w:r>
    </w:p>
    <w:p w:rsidR="0007605A" w:rsidRDefault="0007605A" w:rsidP="002D694F">
      <w:pPr>
        <w:spacing w:line="288" w:lineRule="auto"/>
        <w:rPr>
          <w:rFonts w:ascii="Times New Roman" w:eastAsia="TimesNRMTPro" w:hAnsi="Times New Roman"/>
          <w:szCs w:val="24"/>
          <w:lang w:val="en-GB"/>
        </w:rPr>
      </w:pPr>
    </w:p>
    <w:p w:rsidR="00632369" w:rsidRPr="00627143" w:rsidRDefault="00627143" w:rsidP="00632369">
      <w:pPr>
        <w:spacing w:line="288" w:lineRule="auto"/>
        <w:rPr>
          <w:rFonts w:ascii="Times New Roman" w:eastAsia="TimesNRMTPro" w:hAnsi="Times New Roman"/>
          <w:b/>
          <w:szCs w:val="24"/>
          <w:lang w:val="en-GB"/>
        </w:rPr>
      </w:pPr>
      <w:r>
        <w:rPr>
          <w:rFonts w:ascii="Times New Roman" w:eastAsia="TimesNRMTPro" w:hAnsi="Times New Roman"/>
          <w:b/>
          <w:szCs w:val="24"/>
          <w:lang w:val="en-GB"/>
        </w:rPr>
        <w:t>4.T</w:t>
      </w:r>
      <w:r w:rsidR="00632369" w:rsidRPr="00627143">
        <w:rPr>
          <w:rFonts w:ascii="Times New Roman" w:eastAsia="TimesNRMTPro" w:hAnsi="Times New Roman"/>
          <w:b/>
          <w:szCs w:val="24"/>
          <w:lang w:val="en-GB"/>
        </w:rPr>
        <w:t xml:space="preserve">ax issues </w:t>
      </w:r>
    </w:p>
    <w:p w:rsidR="00561CC5" w:rsidRDefault="009A1198" w:rsidP="00632369">
      <w:pPr>
        <w:spacing w:line="288" w:lineRule="auto"/>
        <w:rPr>
          <w:rFonts w:ascii="Times New Roman" w:eastAsia="TimesNRMTPro" w:hAnsi="Times New Roman"/>
          <w:szCs w:val="24"/>
          <w:lang w:val="en-GB"/>
        </w:rPr>
      </w:pPr>
      <w:r>
        <w:rPr>
          <w:rFonts w:ascii="Times New Roman" w:eastAsia="TimesNRMTPro" w:hAnsi="Times New Roman"/>
          <w:szCs w:val="24"/>
          <w:lang w:val="en-GB"/>
        </w:rPr>
        <w:t>Tax issues are inextricably bound up with the substance-over-form question</w:t>
      </w:r>
      <w:r w:rsidR="00271659">
        <w:rPr>
          <w:rFonts w:ascii="Times New Roman" w:eastAsia="TimesNRMTPro" w:hAnsi="Times New Roman"/>
          <w:szCs w:val="24"/>
          <w:lang w:val="en-GB"/>
        </w:rPr>
        <w:t>. I</w:t>
      </w:r>
      <w:r w:rsidR="00320628">
        <w:rPr>
          <w:rFonts w:ascii="Times New Roman" w:eastAsia="TimesNRMTPro" w:hAnsi="Times New Roman"/>
          <w:szCs w:val="24"/>
          <w:lang w:val="en-GB"/>
        </w:rPr>
        <w:t>f Islamic finance is to have a sporting chance in Europe, an economic rather than a legal approach is called for, not only with regard to deductibility of financing costs but also in the area</w:t>
      </w:r>
      <w:r>
        <w:rPr>
          <w:rFonts w:ascii="Times New Roman" w:eastAsia="TimesNRMTPro" w:hAnsi="Times New Roman"/>
          <w:szCs w:val="24"/>
          <w:lang w:val="en-GB"/>
        </w:rPr>
        <w:t>s</w:t>
      </w:r>
      <w:r w:rsidR="00320628">
        <w:rPr>
          <w:rFonts w:ascii="Times New Roman" w:eastAsia="TimesNRMTPro" w:hAnsi="Times New Roman"/>
          <w:szCs w:val="24"/>
          <w:lang w:val="en-GB"/>
        </w:rPr>
        <w:t xml:space="preserve"> of indirect taxes a</w:t>
      </w:r>
      <w:r>
        <w:rPr>
          <w:rFonts w:ascii="Times New Roman" w:eastAsia="TimesNRMTPro" w:hAnsi="Times New Roman"/>
          <w:szCs w:val="24"/>
          <w:lang w:val="en-GB"/>
        </w:rPr>
        <w:t>nd international tax agreements</w:t>
      </w:r>
      <w:r w:rsidR="00320628">
        <w:rPr>
          <w:rFonts w:ascii="Times New Roman" w:eastAsia="TimesNRMTPro" w:hAnsi="Times New Roman"/>
          <w:szCs w:val="24"/>
          <w:lang w:val="en-GB"/>
        </w:rPr>
        <w:t xml:space="preserve">. As an aside, it </w:t>
      </w:r>
      <w:r>
        <w:rPr>
          <w:rFonts w:ascii="Times New Roman" w:eastAsia="TimesNRMTPro" w:hAnsi="Times New Roman"/>
          <w:szCs w:val="24"/>
          <w:lang w:val="en-GB"/>
        </w:rPr>
        <w:t>should</w:t>
      </w:r>
      <w:r w:rsidR="00320628">
        <w:rPr>
          <w:rFonts w:ascii="Times New Roman" w:eastAsia="TimesNRMTPro" w:hAnsi="Times New Roman"/>
          <w:szCs w:val="24"/>
          <w:lang w:val="en-GB"/>
        </w:rPr>
        <w:t xml:space="preserve"> be noted that the Netherlands</w:t>
      </w:r>
      <w:r w:rsidR="00561CC5">
        <w:rPr>
          <w:rFonts w:ascii="Times New Roman" w:eastAsia="TimesNRMTPro" w:hAnsi="Times New Roman"/>
          <w:szCs w:val="24"/>
          <w:lang w:val="en-GB"/>
        </w:rPr>
        <w:t xml:space="preserve"> may follow a legal approach on home finance, but </w:t>
      </w:r>
      <w:r w:rsidR="0061646B">
        <w:rPr>
          <w:rFonts w:ascii="Times New Roman" w:eastAsia="TimesNRMTPro" w:hAnsi="Times New Roman"/>
          <w:szCs w:val="24"/>
          <w:lang w:val="en-GB"/>
        </w:rPr>
        <w:t xml:space="preserve">, along with Luxembourg, stands out </w:t>
      </w:r>
      <w:r>
        <w:rPr>
          <w:rFonts w:ascii="Times New Roman" w:eastAsia="TimesNRMTPro" w:hAnsi="Times New Roman"/>
          <w:szCs w:val="24"/>
          <w:lang w:val="en-GB"/>
        </w:rPr>
        <w:t>in</w:t>
      </w:r>
      <w:r w:rsidR="0061646B">
        <w:rPr>
          <w:rFonts w:ascii="Times New Roman" w:eastAsia="TimesNRMTPro" w:hAnsi="Times New Roman"/>
          <w:szCs w:val="24"/>
          <w:lang w:val="en-GB"/>
        </w:rPr>
        <w:t xml:space="preserve"> Europe</w:t>
      </w:r>
      <w:r>
        <w:rPr>
          <w:rFonts w:ascii="Times New Roman" w:eastAsia="TimesNRMTPro" w:hAnsi="Times New Roman"/>
          <w:szCs w:val="24"/>
          <w:lang w:val="en-GB"/>
        </w:rPr>
        <w:t xml:space="preserve"> as a</w:t>
      </w:r>
      <w:r w:rsidR="0061646B">
        <w:rPr>
          <w:rFonts w:ascii="Times New Roman" w:eastAsia="TimesNRMTPro" w:hAnsi="Times New Roman"/>
          <w:szCs w:val="24"/>
          <w:lang w:val="en-GB"/>
        </w:rPr>
        <w:t xml:space="preserve"> country applying </w:t>
      </w:r>
      <w:r w:rsidR="00561CC5">
        <w:rPr>
          <w:rFonts w:ascii="Times New Roman" w:eastAsia="TimesNRMTPro" w:hAnsi="Times New Roman"/>
          <w:szCs w:val="24"/>
          <w:lang w:val="en-GB"/>
        </w:rPr>
        <w:t>a substance over form approach</w:t>
      </w:r>
      <w:r w:rsidR="0061646B">
        <w:rPr>
          <w:rFonts w:ascii="Times New Roman" w:eastAsia="TimesNRMTPro" w:hAnsi="Times New Roman"/>
          <w:szCs w:val="24"/>
          <w:lang w:val="en-GB"/>
        </w:rPr>
        <w:t xml:space="preserve"> to Islamic contracts</w:t>
      </w:r>
      <w:r w:rsidR="00561CC5">
        <w:rPr>
          <w:rFonts w:ascii="Times New Roman" w:eastAsia="TimesNRMTPro" w:hAnsi="Times New Roman"/>
          <w:szCs w:val="24"/>
          <w:lang w:val="en-GB"/>
        </w:rPr>
        <w:t xml:space="preserve"> (Muller, 2010)</w:t>
      </w:r>
      <w:r w:rsidR="0061646B">
        <w:rPr>
          <w:rFonts w:ascii="Times New Roman" w:eastAsia="TimesNRMTPro" w:hAnsi="Times New Roman"/>
          <w:szCs w:val="24"/>
          <w:lang w:val="en-GB"/>
        </w:rPr>
        <w:t>.</w:t>
      </w:r>
    </w:p>
    <w:p w:rsidR="00190CB2" w:rsidRPr="00324EB7" w:rsidRDefault="00AA6D4D" w:rsidP="009A1198">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 xml:space="preserve">As for indirect taxes, a level playing field would require a partial exemption on VAT levied on purchases under a murabaha contract. </w:t>
      </w:r>
      <w:r w:rsidR="00627143">
        <w:rPr>
          <w:rFonts w:ascii="Times New Roman" w:eastAsia="TimesNRMTPro" w:hAnsi="Times New Roman"/>
          <w:szCs w:val="24"/>
          <w:lang w:val="en-GB"/>
        </w:rPr>
        <w:t xml:space="preserve">Under a murabaha finance contract, the bank buys a good in order to sell it on with a markup to the customer, against deferred payment. </w:t>
      </w:r>
      <w:r>
        <w:rPr>
          <w:rFonts w:ascii="Times New Roman" w:eastAsia="TimesNRMTPro" w:hAnsi="Times New Roman"/>
          <w:szCs w:val="24"/>
          <w:lang w:val="en-GB"/>
        </w:rPr>
        <w:t>The markup, whi</w:t>
      </w:r>
      <w:r w:rsidR="00FA5F99">
        <w:rPr>
          <w:rFonts w:ascii="Times New Roman" w:eastAsia="TimesNRMTPro" w:hAnsi="Times New Roman"/>
          <w:szCs w:val="24"/>
          <w:lang w:val="en-GB"/>
        </w:rPr>
        <w:t xml:space="preserve">ch is usually roughly equal to the present discounted value of future interest payments on a conventional </w:t>
      </w:r>
      <w:r w:rsidR="00627143">
        <w:rPr>
          <w:rFonts w:ascii="Times New Roman" w:eastAsia="TimesNRMTPro" w:hAnsi="Times New Roman"/>
          <w:szCs w:val="24"/>
          <w:lang w:val="en-GB"/>
        </w:rPr>
        <w:t>credit sale</w:t>
      </w:r>
      <w:r w:rsidR="00FA5F99">
        <w:rPr>
          <w:rFonts w:ascii="Times New Roman" w:eastAsia="TimesNRMTPro" w:hAnsi="Times New Roman"/>
          <w:szCs w:val="24"/>
          <w:lang w:val="en-GB"/>
        </w:rPr>
        <w:t xml:space="preserve">, may add considerably to the purchase price of a good and a VAT levy at the going rate on the full purchase price would put murabaha purchases under a competitive disadvantage. Further, </w:t>
      </w:r>
      <w:r w:rsidR="00DA7720">
        <w:rPr>
          <w:rFonts w:ascii="Times New Roman" w:eastAsia="TimesNRMTPro" w:hAnsi="Times New Roman"/>
          <w:szCs w:val="24"/>
          <w:lang w:val="en-GB"/>
        </w:rPr>
        <w:t>levying real estate transfer taxes on each and every transfer of ownership</w:t>
      </w:r>
      <w:r w:rsidR="00A27253">
        <w:rPr>
          <w:rFonts w:ascii="Times New Roman" w:eastAsia="TimesNRMTPro" w:hAnsi="Times New Roman"/>
          <w:szCs w:val="24"/>
          <w:lang w:val="en-GB"/>
        </w:rPr>
        <w:t xml:space="preserve"> also means a heavy burden on Islamic finance, as Islamic contracts may involve more than one sa</w:t>
      </w:r>
      <w:r w:rsidR="0014342C">
        <w:rPr>
          <w:rFonts w:ascii="Times New Roman" w:eastAsia="TimesNRMTPro" w:hAnsi="Times New Roman"/>
          <w:szCs w:val="24"/>
          <w:lang w:val="en-GB"/>
        </w:rPr>
        <w:t>le and purchase transaction where</w:t>
      </w:r>
      <w:r w:rsidR="00A27253">
        <w:rPr>
          <w:rFonts w:ascii="Times New Roman" w:eastAsia="TimesNRMTPro" w:hAnsi="Times New Roman"/>
          <w:szCs w:val="24"/>
          <w:lang w:val="en-GB"/>
        </w:rPr>
        <w:t xml:space="preserve"> under conventional finance one suffices.</w:t>
      </w:r>
      <w:r w:rsidR="00627143">
        <w:rPr>
          <w:rFonts w:ascii="Times New Roman" w:eastAsia="TimesNRMTPro" w:hAnsi="Times New Roman"/>
          <w:szCs w:val="24"/>
          <w:lang w:val="en-GB"/>
        </w:rPr>
        <w:t xml:space="preserve"> This is the case with </w:t>
      </w:r>
      <w:r w:rsidR="00D83F47">
        <w:rPr>
          <w:rFonts w:ascii="Times New Roman" w:eastAsia="TimesNRMTPro" w:hAnsi="Times New Roman"/>
          <w:szCs w:val="24"/>
          <w:lang w:val="en-GB"/>
        </w:rPr>
        <w:t>murabaha finance</w:t>
      </w:r>
      <w:r w:rsidR="00A27253">
        <w:rPr>
          <w:rFonts w:ascii="Times New Roman" w:eastAsia="TimesNRMTPro" w:hAnsi="Times New Roman"/>
          <w:szCs w:val="24"/>
          <w:lang w:val="en-GB"/>
        </w:rPr>
        <w:t>, where the financier buys a go</w:t>
      </w:r>
      <w:r w:rsidR="0014342C">
        <w:rPr>
          <w:rFonts w:ascii="Times New Roman" w:eastAsia="TimesNRMTPro" w:hAnsi="Times New Roman"/>
          <w:szCs w:val="24"/>
          <w:lang w:val="en-GB"/>
        </w:rPr>
        <w:t>od and sells it on to its customer</w:t>
      </w:r>
      <w:r w:rsidR="00190CB2">
        <w:rPr>
          <w:rFonts w:ascii="Times New Roman" w:eastAsia="TimesNRMTPro" w:hAnsi="Times New Roman"/>
          <w:szCs w:val="24"/>
          <w:lang w:val="en-GB"/>
        </w:rPr>
        <w:t xml:space="preserve">, </w:t>
      </w:r>
      <w:r w:rsidR="00D83F47">
        <w:rPr>
          <w:rFonts w:ascii="Times New Roman" w:eastAsia="TimesNRMTPro" w:hAnsi="Times New Roman"/>
          <w:szCs w:val="24"/>
          <w:lang w:val="en-GB"/>
        </w:rPr>
        <w:t>and also with</w:t>
      </w:r>
      <w:r w:rsidR="00190CB2">
        <w:rPr>
          <w:rFonts w:ascii="Times New Roman" w:eastAsia="TimesNRMTPro" w:hAnsi="Times New Roman"/>
          <w:szCs w:val="24"/>
          <w:lang w:val="en-GB"/>
        </w:rPr>
        <w:t xml:space="preserve"> ijara wa iqtina and musharaka mutanaqisa contracts</w:t>
      </w:r>
      <w:r w:rsidR="00D83F47">
        <w:rPr>
          <w:rFonts w:ascii="Times New Roman" w:eastAsia="TimesNRMTPro" w:hAnsi="Times New Roman"/>
          <w:szCs w:val="24"/>
          <w:lang w:val="en-GB"/>
        </w:rPr>
        <w:t xml:space="preserve">. </w:t>
      </w:r>
      <w:r w:rsidR="00190CB2">
        <w:rPr>
          <w:rFonts w:ascii="Times New Roman" w:eastAsia="TimesNRMTPro" w:hAnsi="Times New Roman"/>
          <w:szCs w:val="24"/>
          <w:lang w:val="en-GB"/>
        </w:rPr>
        <w:t xml:space="preserve">The </w:t>
      </w:r>
      <w:r w:rsidR="00D83F47">
        <w:rPr>
          <w:rFonts w:ascii="Times New Roman" w:eastAsia="TimesNRMTPro" w:hAnsi="Times New Roman"/>
          <w:szCs w:val="24"/>
          <w:lang w:val="en-GB"/>
        </w:rPr>
        <w:t>UK’s</w:t>
      </w:r>
      <w:r w:rsidR="002040D9">
        <w:rPr>
          <w:rFonts w:ascii="Times New Roman" w:eastAsia="TimesNRMTPro" w:hAnsi="Times New Roman"/>
          <w:szCs w:val="24"/>
          <w:lang w:val="en-GB"/>
        </w:rPr>
        <w:t xml:space="preserve"> </w:t>
      </w:r>
      <w:r w:rsidR="00190CB2">
        <w:rPr>
          <w:rFonts w:ascii="Times New Roman" w:eastAsia="TimesNRMTPro" w:hAnsi="Times New Roman"/>
          <w:szCs w:val="24"/>
          <w:lang w:val="en-GB"/>
        </w:rPr>
        <w:t>2003 Finance Act</w:t>
      </w:r>
      <w:r w:rsidR="00AB5C35">
        <w:rPr>
          <w:rFonts w:ascii="Times New Roman" w:eastAsia="TimesNRMTPro" w:hAnsi="Times New Roman"/>
          <w:szCs w:val="24"/>
          <w:lang w:val="en-GB"/>
        </w:rPr>
        <w:t>, which was introduce</w:t>
      </w:r>
      <w:r w:rsidR="0089003C">
        <w:rPr>
          <w:rFonts w:ascii="Times New Roman" w:eastAsia="TimesNRMTPro" w:hAnsi="Times New Roman"/>
          <w:szCs w:val="24"/>
          <w:lang w:val="en-GB"/>
        </w:rPr>
        <w:t>d</w:t>
      </w:r>
      <w:r w:rsidR="00AB5C35">
        <w:rPr>
          <w:rFonts w:ascii="Times New Roman" w:eastAsia="TimesNRMTPro" w:hAnsi="Times New Roman"/>
          <w:szCs w:val="24"/>
          <w:lang w:val="en-GB"/>
        </w:rPr>
        <w:t xml:space="preserve"> to</w:t>
      </w:r>
      <w:r w:rsidR="0089003C">
        <w:rPr>
          <w:rFonts w:ascii="Times New Roman" w:eastAsia="TimesNRMTPro" w:hAnsi="Times New Roman"/>
          <w:szCs w:val="24"/>
          <w:lang w:val="en-GB"/>
        </w:rPr>
        <w:t xml:space="preserve"> remove obstacles to Islamic forms of finance, </w:t>
      </w:r>
      <w:r w:rsidR="00190CB2">
        <w:rPr>
          <w:rFonts w:ascii="Times New Roman" w:eastAsia="TimesNRMTPro" w:hAnsi="Times New Roman"/>
          <w:szCs w:val="24"/>
          <w:lang w:val="en-GB"/>
        </w:rPr>
        <w:t xml:space="preserve"> requires only a single payment of Stamp Duty Land Tax </w:t>
      </w:r>
      <w:r w:rsidR="00AD2421">
        <w:rPr>
          <w:rFonts w:ascii="Times New Roman" w:eastAsia="TimesNRMTPro" w:hAnsi="Times New Roman"/>
          <w:szCs w:val="24"/>
          <w:lang w:val="en-GB"/>
        </w:rPr>
        <w:t>on I</w:t>
      </w:r>
      <w:r w:rsidR="00074A4A">
        <w:rPr>
          <w:rFonts w:ascii="Times New Roman" w:eastAsia="TimesNRMTPro" w:hAnsi="Times New Roman"/>
          <w:szCs w:val="24"/>
          <w:lang w:val="en-GB"/>
        </w:rPr>
        <w:t>slamic real estate transactions (</w:t>
      </w:r>
      <w:r w:rsidR="00DF7A1B">
        <w:rPr>
          <w:rFonts w:ascii="Times New Roman" w:eastAsia="TimesNRMTPro" w:hAnsi="Times New Roman"/>
          <w:szCs w:val="24"/>
          <w:lang w:val="en-GB"/>
        </w:rPr>
        <w:t>UK Government</w:t>
      </w:r>
      <w:r w:rsidR="00074A4A">
        <w:rPr>
          <w:rFonts w:ascii="Times New Roman" w:eastAsia="TimesNRMTPro" w:hAnsi="Times New Roman"/>
          <w:szCs w:val="24"/>
          <w:lang w:val="en-GB"/>
        </w:rPr>
        <w:t>, 2015). I</w:t>
      </w:r>
      <w:r w:rsidR="00AD2421">
        <w:rPr>
          <w:rFonts w:ascii="Times New Roman" w:eastAsia="TimesNRMTPro" w:hAnsi="Times New Roman"/>
          <w:szCs w:val="24"/>
          <w:lang w:val="en-GB"/>
        </w:rPr>
        <w:t xml:space="preserve">n the Netherlands, </w:t>
      </w:r>
      <w:r w:rsidR="00074A4A">
        <w:rPr>
          <w:rFonts w:ascii="Times New Roman" w:eastAsia="TimesNRMTPro" w:hAnsi="Times New Roman"/>
          <w:szCs w:val="24"/>
          <w:lang w:val="en-GB"/>
        </w:rPr>
        <w:t>however</w:t>
      </w:r>
      <w:r w:rsidR="00AD2421">
        <w:rPr>
          <w:rFonts w:ascii="Times New Roman" w:eastAsia="TimesNRMTPro" w:hAnsi="Times New Roman"/>
          <w:szCs w:val="24"/>
          <w:lang w:val="en-GB"/>
        </w:rPr>
        <w:t xml:space="preserve">, multiple transfers of ownership have a similar provision only for transactions taking place within six months of each other. The </w:t>
      </w:r>
      <w:r w:rsidR="0014342C">
        <w:rPr>
          <w:rFonts w:ascii="Times New Roman" w:eastAsia="TimesNRMTPro" w:hAnsi="Times New Roman"/>
          <w:szCs w:val="24"/>
          <w:lang w:val="en-GB"/>
        </w:rPr>
        <w:t>2003 Finance Act</w:t>
      </w:r>
      <w:r w:rsidR="00AD2421">
        <w:rPr>
          <w:rFonts w:ascii="Times New Roman" w:eastAsia="TimesNRMTPro" w:hAnsi="Times New Roman"/>
          <w:szCs w:val="24"/>
          <w:lang w:val="en-GB"/>
        </w:rPr>
        <w:t xml:space="preserve"> also </w:t>
      </w:r>
      <w:r w:rsidR="00324EB7">
        <w:rPr>
          <w:rFonts w:ascii="Times New Roman" w:eastAsia="TimesNRMTPro" w:hAnsi="Times New Roman"/>
          <w:szCs w:val="24"/>
          <w:lang w:val="en-GB"/>
        </w:rPr>
        <w:t xml:space="preserve">provides for treatment of returns and income payments on debt as if they were interest, which helps stimulate the </w:t>
      </w:r>
      <w:r w:rsidR="00324EB7" w:rsidRPr="00D83F47">
        <w:rPr>
          <w:rFonts w:ascii="Times New Roman" w:eastAsia="TimesNRMTPro" w:hAnsi="Times New Roman"/>
          <w:szCs w:val="24"/>
          <w:lang w:val="en-GB"/>
        </w:rPr>
        <w:t>sukuk</w:t>
      </w:r>
      <w:r w:rsidR="00324EB7">
        <w:rPr>
          <w:rFonts w:ascii="Times New Roman" w:eastAsia="TimesNRMTPro" w:hAnsi="Times New Roman"/>
          <w:i/>
          <w:szCs w:val="24"/>
          <w:lang w:val="en-GB"/>
        </w:rPr>
        <w:t xml:space="preserve"> </w:t>
      </w:r>
      <w:r w:rsidR="00324EB7">
        <w:rPr>
          <w:rFonts w:ascii="Times New Roman" w:eastAsia="TimesNRMTPro" w:hAnsi="Times New Roman"/>
          <w:szCs w:val="24"/>
          <w:lang w:val="en-GB"/>
        </w:rPr>
        <w:t>(Islamic certificate) market in London (Ahmad</w:t>
      </w:r>
      <w:r w:rsidR="00D83F47">
        <w:rPr>
          <w:rFonts w:ascii="Times New Roman" w:eastAsia="TimesNRMTPro" w:hAnsi="Times New Roman"/>
          <w:szCs w:val="24"/>
          <w:lang w:val="en-GB"/>
        </w:rPr>
        <w:t>,</w:t>
      </w:r>
      <w:r w:rsidR="00324EB7">
        <w:rPr>
          <w:rFonts w:ascii="Times New Roman" w:eastAsia="TimesNRMTPro" w:hAnsi="Times New Roman"/>
          <w:szCs w:val="24"/>
          <w:lang w:val="en-GB"/>
        </w:rPr>
        <w:t xml:space="preserve"> 2003). </w:t>
      </w:r>
    </w:p>
    <w:p w:rsidR="003D30D7" w:rsidRDefault="003D30D7" w:rsidP="00190CB2">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International tax treaties are confronted with similar issues. It might, for instance</w:t>
      </w:r>
      <w:r w:rsidR="00D83F47">
        <w:rPr>
          <w:rFonts w:ascii="Times New Roman" w:eastAsia="TimesNRMTPro" w:hAnsi="Times New Roman"/>
          <w:szCs w:val="24"/>
          <w:lang w:val="en-GB"/>
        </w:rPr>
        <w:t>, help if tax treaties replace ‘</w:t>
      </w:r>
      <w:r>
        <w:rPr>
          <w:rFonts w:ascii="Times New Roman" w:eastAsia="TimesNRMTPro" w:hAnsi="Times New Roman"/>
          <w:szCs w:val="24"/>
          <w:lang w:val="en-GB"/>
        </w:rPr>
        <w:t>interest</w:t>
      </w:r>
      <w:r w:rsidR="00D83F47">
        <w:rPr>
          <w:rFonts w:ascii="Times New Roman" w:eastAsia="TimesNRMTPro" w:hAnsi="Times New Roman"/>
          <w:szCs w:val="24"/>
          <w:lang w:val="en-GB"/>
        </w:rPr>
        <w:t>’ by ‘</w:t>
      </w:r>
      <w:r>
        <w:rPr>
          <w:rFonts w:ascii="Times New Roman" w:eastAsia="TimesNRMTPro" w:hAnsi="Times New Roman"/>
          <w:szCs w:val="24"/>
          <w:lang w:val="en-GB"/>
        </w:rPr>
        <w:t>income from debt claims</w:t>
      </w:r>
      <w:r w:rsidR="00D83F47">
        <w:rPr>
          <w:rFonts w:ascii="Times New Roman" w:eastAsia="TimesNRMTPro" w:hAnsi="Times New Roman"/>
          <w:szCs w:val="24"/>
          <w:lang w:val="en-GB"/>
        </w:rPr>
        <w:t>’</w:t>
      </w:r>
      <w:r>
        <w:rPr>
          <w:rFonts w:ascii="Times New Roman" w:eastAsia="TimesNRMTPro" w:hAnsi="Times New Roman"/>
          <w:szCs w:val="24"/>
          <w:lang w:val="en-GB"/>
        </w:rPr>
        <w:t xml:space="preserve">, in order to take account of Islamic forms of debt, as in the tax treaty between Bahrain and the Netherlands. Furthermore, it may make sense to include </w:t>
      </w:r>
      <w:r w:rsidRPr="00D83F47">
        <w:rPr>
          <w:rFonts w:ascii="Times New Roman" w:eastAsia="TimesNRMTPro" w:hAnsi="Times New Roman"/>
          <w:szCs w:val="24"/>
          <w:lang w:val="en-GB"/>
        </w:rPr>
        <w:t>zakat</w:t>
      </w:r>
      <w:r>
        <w:rPr>
          <w:rFonts w:ascii="Times New Roman" w:eastAsia="TimesNRMTPro" w:hAnsi="Times New Roman"/>
          <w:i/>
          <w:szCs w:val="24"/>
          <w:lang w:val="en-GB"/>
        </w:rPr>
        <w:t xml:space="preserve"> </w:t>
      </w:r>
      <w:r w:rsidR="0014342C">
        <w:rPr>
          <w:rFonts w:ascii="Times New Roman" w:eastAsia="TimesNRMTPro" w:hAnsi="Times New Roman"/>
          <w:szCs w:val="24"/>
          <w:lang w:val="en-GB"/>
        </w:rPr>
        <w:t xml:space="preserve">(obligatory charity) </w:t>
      </w:r>
      <w:r>
        <w:rPr>
          <w:rFonts w:ascii="Times New Roman" w:eastAsia="TimesNRMTPro" w:hAnsi="Times New Roman"/>
          <w:szCs w:val="24"/>
          <w:lang w:val="en-GB"/>
        </w:rPr>
        <w:t xml:space="preserve">payments </w:t>
      </w:r>
      <w:r w:rsidR="00D83F47">
        <w:rPr>
          <w:rFonts w:ascii="Times New Roman" w:eastAsia="TimesNRMTPro" w:hAnsi="Times New Roman"/>
          <w:szCs w:val="24"/>
          <w:lang w:val="en-GB"/>
        </w:rPr>
        <w:t xml:space="preserve"> in treaties </w:t>
      </w:r>
      <w:r>
        <w:rPr>
          <w:rFonts w:ascii="Times New Roman" w:eastAsia="TimesNRMTPro" w:hAnsi="Times New Roman"/>
          <w:szCs w:val="24"/>
          <w:lang w:val="en-GB"/>
        </w:rPr>
        <w:t>as a tax, which Kuwait and Saudi Arabia insist on (Muller</w:t>
      </w:r>
      <w:r w:rsidR="00D83F47">
        <w:rPr>
          <w:rFonts w:ascii="Times New Roman" w:eastAsia="TimesNRMTPro" w:hAnsi="Times New Roman"/>
          <w:szCs w:val="24"/>
          <w:lang w:val="en-GB"/>
        </w:rPr>
        <w:t>,</w:t>
      </w:r>
      <w:r>
        <w:rPr>
          <w:rFonts w:ascii="Times New Roman" w:eastAsia="TimesNRMTPro" w:hAnsi="Times New Roman"/>
          <w:szCs w:val="24"/>
          <w:lang w:val="en-GB"/>
        </w:rPr>
        <w:t xml:space="preserve"> 2010). </w:t>
      </w:r>
    </w:p>
    <w:p w:rsidR="00632369" w:rsidRDefault="00324EB7" w:rsidP="00632369">
      <w:pPr>
        <w:spacing w:line="288" w:lineRule="auto"/>
        <w:rPr>
          <w:rFonts w:ascii="Times New Roman" w:eastAsia="TimesNRMTPro" w:hAnsi="Times New Roman"/>
          <w:szCs w:val="24"/>
          <w:lang w:val="en-GB"/>
        </w:rPr>
      </w:pPr>
      <w:r>
        <w:rPr>
          <w:rFonts w:ascii="Times New Roman" w:eastAsia="TimesNRMTPro" w:hAnsi="Times New Roman"/>
          <w:szCs w:val="24"/>
          <w:lang w:val="en-GB"/>
        </w:rPr>
        <w:tab/>
        <w:t xml:space="preserve">Tax issues are extremely complicated and unforeseen problems are sure to crop up. </w:t>
      </w:r>
      <w:r w:rsidR="00745E63">
        <w:rPr>
          <w:rFonts w:ascii="Times New Roman" w:eastAsia="TimesNRMTPro" w:hAnsi="Times New Roman"/>
          <w:szCs w:val="24"/>
          <w:lang w:val="en-GB"/>
        </w:rPr>
        <w:t xml:space="preserve">The 2003 Finance Act </w:t>
      </w:r>
      <w:r w:rsidR="00D83F47">
        <w:rPr>
          <w:rFonts w:ascii="Times New Roman" w:eastAsia="TimesNRMTPro" w:hAnsi="Times New Roman"/>
          <w:szCs w:val="24"/>
          <w:lang w:val="en-GB"/>
        </w:rPr>
        <w:t xml:space="preserve">for instance </w:t>
      </w:r>
      <w:r w:rsidR="00745E63">
        <w:rPr>
          <w:rFonts w:ascii="Times New Roman" w:eastAsia="TimesNRMTPro" w:hAnsi="Times New Roman"/>
          <w:szCs w:val="24"/>
          <w:lang w:val="en-GB"/>
        </w:rPr>
        <w:t>stipulates that under</w:t>
      </w:r>
      <w:r w:rsidR="00D83F47">
        <w:rPr>
          <w:rFonts w:ascii="Times New Roman" w:eastAsia="TimesNRMTPro" w:hAnsi="Times New Roman"/>
          <w:szCs w:val="24"/>
          <w:lang w:val="en-GB"/>
        </w:rPr>
        <w:t xml:space="preserve"> an ijara wa iqtina contract</w:t>
      </w:r>
      <w:r w:rsidR="00745E63">
        <w:rPr>
          <w:rFonts w:ascii="Times New Roman" w:eastAsia="TimesNRMTPro" w:hAnsi="Times New Roman"/>
          <w:szCs w:val="24"/>
          <w:lang w:val="en-GB"/>
        </w:rPr>
        <w:t xml:space="preserve"> the initial transfer of the property is relieved from Stamp Duty Land Tax if the customer is the registered proprietor (</w:t>
      </w:r>
      <w:r w:rsidR="00DF7A1B" w:rsidRPr="00DF7A1B">
        <w:rPr>
          <w:rFonts w:ascii="Times New Roman" w:eastAsia="TimesNRMTPro" w:hAnsi="Times New Roman"/>
          <w:szCs w:val="24"/>
          <w:lang w:val="en-GB"/>
        </w:rPr>
        <w:t>UK Government</w:t>
      </w:r>
      <w:r w:rsidR="00745E63">
        <w:rPr>
          <w:rFonts w:ascii="Times New Roman" w:eastAsia="TimesNRMTPro" w:hAnsi="Times New Roman"/>
          <w:szCs w:val="24"/>
          <w:lang w:val="en-GB"/>
        </w:rPr>
        <w:t>, 2015). That would imply it does not extend to the financier. The UK Court of Appeal indeed concluded it does not (Hunter</w:t>
      </w:r>
      <w:r w:rsidR="00D83F47">
        <w:rPr>
          <w:rFonts w:ascii="Times New Roman" w:eastAsia="TimesNRMTPro" w:hAnsi="Times New Roman"/>
          <w:szCs w:val="24"/>
          <w:lang w:val="en-GB"/>
        </w:rPr>
        <w:t>,</w:t>
      </w:r>
      <w:r w:rsidR="00745E63">
        <w:rPr>
          <w:rFonts w:ascii="Times New Roman" w:eastAsia="TimesNRMTPro" w:hAnsi="Times New Roman"/>
          <w:szCs w:val="24"/>
          <w:lang w:val="en-GB"/>
        </w:rPr>
        <w:t xml:space="preserve"> 2016).</w:t>
      </w:r>
    </w:p>
    <w:p w:rsidR="00632369" w:rsidRDefault="00632369" w:rsidP="00632369">
      <w:pPr>
        <w:spacing w:line="288" w:lineRule="auto"/>
        <w:rPr>
          <w:rFonts w:ascii="Times New Roman" w:eastAsia="TimesNRMTPro" w:hAnsi="Times New Roman"/>
          <w:szCs w:val="24"/>
          <w:lang w:val="en-GB"/>
        </w:rPr>
      </w:pPr>
    </w:p>
    <w:p w:rsidR="00745E63" w:rsidRPr="00D83F47" w:rsidRDefault="00D83F47" w:rsidP="00632369">
      <w:pPr>
        <w:spacing w:line="288" w:lineRule="auto"/>
        <w:rPr>
          <w:rFonts w:ascii="Times New Roman" w:eastAsia="TimesNRMTPro" w:hAnsi="Times New Roman"/>
          <w:b/>
          <w:szCs w:val="24"/>
          <w:lang w:val="en-GB"/>
        </w:rPr>
      </w:pPr>
      <w:r>
        <w:rPr>
          <w:rFonts w:ascii="Times New Roman" w:eastAsia="TimesNRMTPro" w:hAnsi="Times New Roman"/>
          <w:b/>
          <w:szCs w:val="24"/>
          <w:lang w:val="en-GB"/>
        </w:rPr>
        <w:t>5.D</w:t>
      </w:r>
      <w:r w:rsidR="006707C7" w:rsidRPr="00D83F47">
        <w:rPr>
          <w:rFonts w:ascii="Times New Roman" w:eastAsia="TimesNRMTPro" w:hAnsi="Times New Roman"/>
          <w:b/>
          <w:szCs w:val="24"/>
          <w:lang w:val="en-GB"/>
        </w:rPr>
        <w:t xml:space="preserve">eposit insurance and </w:t>
      </w:r>
      <w:r w:rsidR="00745E63" w:rsidRPr="00D83F47">
        <w:rPr>
          <w:rFonts w:ascii="Times New Roman" w:eastAsia="TimesNRMTPro" w:hAnsi="Times New Roman"/>
          <w:b/>
          <w:szCs w:val="24"/>
          <w:lang w:val="en-GB"/>
        </w:rPr>
        <w:t>the classification of deposits in Islamic banks</w:t>
      </w:r>
    </w:p>
    <w:p w:rsidR="0035508F" w:rsidRDefault="00872507" w:rsidP="00632369">
      <w:pPr>
        <w:spacing w:line="288" w:lineRule="auto"/>
        <w:rPr>
          <w:rFonts w:ascii="Times New Roman" w:eastAsia="TimesNRMTPro" w:hAnsi="Times New Roman"/>
          <w:szCs w:val="24"/>
          <w:lang w:val="en-GB"/>
        </w:rPr>
      </w:pPr>
      <w:r>
        <w:rPr>
          <w:rFonts w:ascii="Times New Roman" w:eastAsia="TimesNRMTPro" w:hAnsi="Times New Roman"/>
          <w:szCs w:val="24"/>
          <w:lang w:val="en-GB"/>
        </w:rPr>
        <w:t>Islami</w:t>
      </w:r>
      <w:r w:rsidR="0014342C">
        <w:rPr>
          <w:rFonts w:ascii="Times New Roman" w:eastAsia="TimesNRMTPro" w:hAnsi="Times New Roman"/>
          <w:szCs w:val="24"/>
          <w:lang w:val="en-GB"/>
        </w:rPr>
        <w:t xml:space="preserve">c banks offer deposits that </w:t>
      </w:r>
      <w:r>
        <w:rPr>
          <w:rFonts w:ascii="Times New Roman" w:eastAsia="TimesNRMTPro" w:hAnsi="Times New Roman"/>
          <w:szCs w:val="24"/>
          <w:lang w:val="en-GB"/>
        </w:rPr>
        <w:t xml:space="preserve">have different characteristics from those offered by conventional banks. </w:t>
      </w:r>
      <w:r w:rsidR="00D83F47">
        <w:rPr>
          <w:rFonts w:ascii="Times New Roman" w:eastAsia="TimesNRMTPro" w:hAnsi="Times New Roman"/>
          <w:szCs w:val="24"/>
          <w:lang w:val="en-GB"/>
        </w:rPr>
        <w:t>Take</w:t>
      </w:r>
      <w:r w:rsidR="00343327">
        <w:rPr>
          <w:rFonts w:ascii="Times New Roman" w:eastAsia="TimesNRMTPro" w:hAnsi="Times New Roman"/>
          <w:szCs w:val="24"/>
          <w:lang w:val="en-GB"/>
        </w:rPr>
        <w:t xml:space="preserve"> demand deposits</w:t>
      </w:r>
      <w:r w:rsidR="00D83F47">
        <w:rPr>
          <w:rFonts w:ascii="Times New Roman" w:eastAsia="TimesNRMTPro" w:hAnsi="Times New Roman"/>
          <w:szCs w:val="24"/>
          <w:lang w:val="en-GB"/>
        </w:rPr>
        <w:t>,</w:t>
      </w:r>
      <w:r w:rsidR="00343327">
        <w:rPr>
          <w:rFonts w:ascii="Times New Roman" w:eastAsia="TimesNRMTPro" w:hAnsi="Times New Roman"/>
          <w:szCs w:val="24"/>
          <w:lang w:val="en-GB"/>
        </w:rPr>
        <w:t xml:space="preserve"> </w:t>
      </w:r>
      <w:r>
        <w:rPr>
          <w:rFonts w:ascii="Times New Roman" w:eastAsia="TimesNRMTPro" w:hAnsi="Times New Roman"/>
          <w:szCs w:val="24"/>
          <w:lang w:val="en-GB"/>
        </w:rPr>
        <w:t xml:space="preserve">or current acounts. These may be held under a </w:t>
      </w:r>
      <w:r w:rsidRPr="00D83F47">
        <w:rPr>
          <w:rFonts w:ascii="Times New Roman" w:eastAsia="TimesNRMTPro" w:hAnsi="Times New Roman"/>
          <w:szCs w:val="24"/>
          <w:lang w:val="en-GB"/>
        </w:rPr>
        <w:t>quard hasan</w:t>
      </w:r>
      <w:r>
        <w:rPr>
          <w:rFonts w:ascii="Times New Roman" w:eastAsia="TimesNRMTPro" w:hAnsi="Times New Roman"/>
          <w:i/>
          <w:szCs w:val="24"/>
          <w:lang w:val="en-GB"/>
        </w:rPr>
        <w:t xml:space="preserve"> </w:t>
      </w:r>
      <w:r>
        <w:rPr>
          <w:rFonts w:ascii="Times New Roman" w:eastAsia="TimesNRMTPro" w:hAnsi="Times New Roman"/>
          <w:szCs w:val="24"/>
          <w:lang w:val="en-GB"/>
        </w:rPr>
        <w:t>or interest-free loan contract, as in Iran, the United Arab Emirates</w:t>
      </w:r>
      <w:r w:rsidR="00D83F47">
        <w:rPr>
          <w:rFonts w:ascii="Times New Roman" w:eastAsia="TimesNRMTPro" w:hAnsi="Times New Roman"/>
          <w:szCs w:val="24"/>
          <w:lang w:val="en-GB"/>
        </w:rPr>
        <w:t xml:space="preserve"> (UAE)</w:t>
      </w:r>
      <w:r>
        <w:rPr>
          <w:rFonts w:ascii="Times New Roman" w:eastAsia="TimesNRMTPro" w:hAnsi="Times New Roman"/>
          <w:szCs w:val="24"/>
          <w:lang w:val="en-GB"/>
        </w:rPr>
        <w:t xml:space="preserve">, Bahrain and Kuwait, or under a </w:t>
      </w:r>
      <w:r w:rsidR="0081208D" w:rsidRPr="00C81594">
        <w:rPr>
          <w:rFonts w:ascii="Times New Roman" w:eastAsia="TimesNRMTPro" w:hAnsi="Times New Roman"/>
          <w:szCs w:val="24"/>
          <w:lang w:val="en-GB"/>
        </w:rPr>
        <w:t>wadia</w:t>
      </w:r>
      <w:r>
        <w:rPr>
          <w:rFonts w:ascii="Times New Roman" w:eastAsia="TimesNRMTPro" w:hAnsi="Times New Roman"/>
          <w:i/>
          <w:szCs w:val="24"/>
          <w:lang w:val="en-GB"/>
        </w:rPr>
        <w:t xml:space="preserve"> </w:t>
      </w:r>
      <w:r w:rsidR="007E45C6">
        <w:rPr>
          <w:rFonts w:ascii="Times New Roman" w:eastAsia="TimesNRMTPro" w:hAnsi="Times New Roman"/>
          <w:szCs w:val="24"/>
          <w:lang w:val="en-GB"/>
        </w:rPr>
        <w:t>(</w:t>
      </w:r>
      <w:r>
        <w:rPr>
          <w:rFonts w:ascii="Times New Roman" w:eastAsia="TimesNRMTPro" w:hAnsi="Times New Roman"/>
          <w:szCs w:val="24"/>
          <w:lang w:val="en-GB"/>
        </w:rPr>
        <w:t>safe custody</w:t>
      </w:r>
      <w:r w:rsidR="007E45C6">
        <w:rPr>
          <w:rFonts w:ascii="Times New Roman" w:eastAsia="TimesNRMTPro" w:hAnsi="Times New Roman"/>
          <w:szCs w:val="24"/>
          <w:lang w:val="en-GB"/>
        </w:rPr>
        <w:t>)</w:t>
      </w:r>
      <w:r>
        <w:rPr>
          <w:rFonts w:ascii="Times New Roman" w:eastAsia="TimesNRMTPro" w:hAnsi="Times New Roman"/>
          <w:szCs w:val="24"/>
          <w:lang w:val="en-GB"/>
        </w:rPr>
        <w:t xml:space="preserve"> contract, as in South East Asian countries.</w:t>
      </w:r>
      <w:r w:rsidR="00A16A02">
        <w:rPr>
          <w:rFonts w:ascii="Times New Roman" w:eastAsia="TimesNRMTPro" w:hAnsi="Times New Roman"/>
          <w:szCs w:val="24"/>
          <w:lang w:val="en-GB"/>
        </w:rPr>
        <w:t xml:space="preserve"> </w:t>
      </w:r>
      <w:r>
        <w:rPr>
          <w:rFonts w:ascii="Times New Roman" w:eastAsia="TimesNRMTPro" w:hAnsi="Times New Roman"/>
          <w:szCs w:val="24"/>
          <w:lang w:val="en-GB"/>
        </w:rPr>
        <w:t xml:space="preserve">Another variant is the </w:t>
      </w:r>
      <w:r w:rsidR="00712233" w:rsidRPr="00C81594">
        <w:rPr>
          <w:rFonts w:ascii="Times New Roman" w:eastAsia="TimesNRMTPro" w:hAnsi="Times New Roman"/>
          <w:szCs w:val="24"/>
          <w:lang w:val="en-GB"/>
        </w:rPr>
        <w:t>mud</w:t>
      </w:r>
      <w:r w:rsidRPr="00C81594">
        <w:rPr>
          <w:rFonts w:ascii="Times New Roman" w:eastAsia="TimesNRMTPro" w:hAnsi="Times New Roman"/>
          <w:szCs w:val="24"/>
          <w:lang w:val="en-GB"/>
        </w:rPr>
        <w:t>a</w:t>
      </w:r>
      <w:r w:rsidR="00712233" w:rsidRPr="00C81594">
        <w:rPr>
          <w:rFonts w:ascii="Times New Roman" w:eastAsia="TimesNRMTPro" w:hAnsi="Times New Roman"/>
          <w:szCs w:val="24"/>
          <w:lang w:val="en-GB"/>
        </w:rPr>
        <w:t>rab</w:t>
      </w:r>
      <w:r w:rsidRPr="00C81594">
        <w:rPr>
          <w:rFonts w:ascii="Times New Roman" w:eastAsia="TimesNRMTPro" w:hAnsi="Times New Roman"/>
          <w:szCs w:val="24"/>
          <w:lang w:val="en-GB"/>
        </w:rPr>
        <w:t>a</w:t>
      </w:r>
      <w:r>
        <w:rPr>
          <w:rFonts w:ascii="Times New Roman" w:eastAsia="TimesNRMTPro" w:hAnsi="Times New Roman"/>
          <w:i/>
          <w:szCs w:val="24"/>
          <w:lang w:val="en-GB"/>
        </w:rPr>
        <w:t xml:space="preserve"> </w:t>
      </w:r>
      <w:r>
        <w:rPr>
          <w:rFonts w:ascii="Times New Roman" w:eastAsia="TimesNRMTPro" w:hAnsi="Times New Roman"/>
          <w:szCs w:val="24"/>
          <w:lang w:val="en-GB"/>
        </w:rPr>
        <w:t>contract</w:t>
      </w:r>
      <w:r w:rsidR="00712233">
        <w:rPr>
          <w:rFonts w:ascii="Times New Roman" w:eastAsia="TimesNRMTPro" w:hAnsi="Times New Roman"/>
          <w:szCs w:val="24"/>
          <w:lang w:val="en-GB"/>
        </w:rPr>
        <w:t xml:space="preserve">, as applied in Malaysia, which involves profit sharing between the bank as the </w:t>
      </w:r>
      <w:r w:rsidR="00712233" w:rsidRPr="00C81594">
        <w:rPr>
          <w:rFonts w:ascii="Times New Roman" w:eastAsia="TimesNRMTPro" w:hAnsi="Times New Roman"/>
          <w:szCs w:val="24"/>
          <w:lang w:val="en-GB"/>
        </w:rPr>
        <w:t>mudarib</w:t>
      </w:r>
      <w:r w:rsidR="00712233">
        <w:rPr>
          <w:rFonts w:ascii="Times New Roman" w:eastAsia="TimesNRMTPro" w:hAnsi="Times New Roman"/>
          <w:szCs w:val="24"/>
          <w:lang w:val="en-GB"/>
        </w:rPr>
        <w:t xml:space="preserve"> or agent, who invests the funds, and the customer as the </w:t>
      </w:r>
      <w:r w:rsidR="00712233" w:rsidRPr="00C81594">
        <w:rPr>
          <w:rFonts w:ascii="Times New Roman" w:eastAsia="TimesNRMTPro" w:hAnsi="Times New Roman"/>
          <w:szCs w:val="24"/>
          <w:lang w:val="en-GB"/>
        </w:rPr>
        <w:t>rabb-al-mal</w:t>
      </w:r>
      <w:r w:rsidR="00712233">
        <w:rPr>
          <w:rFonts w:ascii="Times New Roman" w:eastAsia="TimesNRMTPro" w:hAnsi="Times New Roman"/>
          <w:i/>
          <w:szCs w:val="24"/>
          <w:lang w:val="en-GB"/>
        </w:rPr>
        <w:t xml:space="preserve"> </w:t>
      </w:r>
      <w:r w:rsidR="00712233">
        <w:rPr>
          <w:rFonts w:ascii="Times New Roman" w:eastAsia="TimesNRMTPro" w:hAnsi="Times New Roman"/>
          <w:szCs w:val="24"/>
          <w:lang w:val="en-GB"/>
        </w:rPr>
        <w:t>or financier (</w:t>
      </w:r>
      <w:r w:rsidR="006707C7">
        <w:rPr>
          <w:rFonts w:ascii="Times New Roman" w:eastAsia="TimesNRMTPro" w:hAnsi="Times New Roman"/>
          <w:szCs w:val="24"/>
          <w:lang w:val="en-GB"/>
        </w:rPr>
        <w:t>Bakar et al.</w:t>
      </w:r>
      <w:r w:rsidR="00C81594">
        <w:rPr>
          <w:rFonts w:ascii="Times New Roman" w:eastAsia="TimesNRMTPro" w:hAnsi="Times New Roman"/>
          <w:szCs w:val="24"/>
          <w:lang w:val="en-GB"/>
        </w:rPr>
        <w:t>,</w:t>
      </w:r>
      <w:r w:rsidR="006707C7">
        <w:rPr>
          <w:rFonts w:ascii="Times New Roman" w:eastAsia="TimesNRMTPro" w:hAnsi="Times New Roman"/>
          <w:szCs w:val="24"/>
          <w:lang w:val="en-GB"/>
        </w:rPr>
        <w:t xml:space="preserve"> 2008 p. 74)</w:t>
      </w:r>
      <w:r w:rsidR="00712233">
        <w:rPr>
          <w:rFonts w:ascii="Times New Roman" w:eastAsia="TimesNRMTPro" w:hAnsi="Times New Roman"/>
          <w:szCs w:val="24"/>
          <w:lang w:val="en-GB"/>
        </w:rPr>
        <w:t>.</w:t>
      </w:r>
      <w:r w:rsidR="00177BD7">
        <w:rPr>
          <w:rFonts w:ascii="Times New Roman" w:eastAsia="TimesNRMTPro" w:hAnsi="Times New Roman"/>
          <w:szCs w:val="24"/>
          <w:lang w:val="en-GB"/>
        </w:rPr>
        <w:t xml:space="preserve"> Losses should thus be borne by the depositors, which is clearly at odds with deposit guarantees (Hidayat, 2016).</w:t>
      </w:r>
      <w:r w:rsidR="0035508F">
        <w:rPr>
          <w:rFonts w:ascii="Times New Roman" w:eastAsia="TimesNRMTPro" w:hAnsi="Times New Roman"/>
          <w:szCs w:val="24"/>
          <w:lang w:val="en-GB"/>
        </w:rPr>
        <w:t xml:space="preserve"> Under a quard hasan or wadia</w:t>
      </w:r>
      <w:r w:rsidR="00712233">
        <w:rPr>
          <w:rFonts w:ascii="Times New Roman" w:eastAsia="TimesNRMTPro" w:hAnsi="Times New Roman"/>
          <w:szCs w:val="24"/>
          <w:lang w:val="en-GB"/>
        </w:rPr>
        <w:t xml:space="preserve"> contract the bank guarantees the principal amount of the demand deposits</w:t>
      </w:r>
      <w:r w:rsidR="00335743">
        <w:rPr>
          <w:rFonts w:ascii="Times New Roman" w:eastAsia="TimesNRMTPro" w:hAnsi="Times New Roman"/>
          <w:szCs w:val="24"/>
          <w:lang w:val="en-GB"/>
        </w:rPr>
        <w:t xml:space="preserve">, </w:t>
      </w:r>
      <w:r w:rsidR="00712233">
        <w:rPr>
          <w:rFonts w:ascii="Times New Roman" w:eastAsia="TimesNRMTPro" w:hAnsi="Times New Roman"/>
          <w:szCs w:val="24"/>
          <w:lang w:val="en-GB"/>
        </w:rPr>
        <w:t>but a mudaraba contract requires the rabb-al-mal to absorb any losses, unless the mudarib is guilty of culpable negligence.</w:t>
      </w:r>
      <w:r w:rsidR="00BA1305">
        <w:rPr>
          <w:rFonts w:ascii="Times New Roman" w:eastAsia="TimesNRMTPro" w:hAnsi="Times New Roman"/>
          <w:szCs w:val="24"/>
          <w:lang w:val="en-GB"/>
        </w:rPr>
        <w:t xml:space="preserve"> In </w:t>
      </w:r>
      <w:r w:rsidR="006707C7">
        <w:rPr>
          <w:rFonts w:ascii="Times New Roman" w:eastAsia="TimesNRMTPro" w:hAnsi="Times New Roman"/>
          <w:szCs w:val="24"/>
          <w:lang w:val="en-GB"/>
        </w:rPr>
        <w:t>Europe</w:t>
      </w:r>
      <w:r w:rsidR="00BA1305">
        <w:rPr>
          <w:rFonts w:ascii="Times New Roman" w:eastAsia="TimesNRMTPro" w:hAnsi="Times New Roman"/>
          <w:szCs w:val="24"/>
          <w:lang w:val="en-GB"/>
        </w:rPr>
        <w:t xml:space="preserve"> supervisors</w:t>
      </w:r>
      <w:r w:rsidR="009300CD">
        <w:rPr>
          <w:rFonts w:ascii="Times New Roman" w:eastAsia="TimesNRMTPro" w:hAnsi="Times New Roman"/>
          <w:szCs w:val="24"/>
          <w:lang w:val="en-GB"/>
        </w:rPr>
        <w:t xml:space="preserve"> require</w:t>
      </w:r>
      <w:r w:rsidR="00BA1305">
        <w:rPr>
          <w:rFonts w:ascii="Times New Roman" w:eastAsia="TimesNRMTPro" w:hAnsi="Times New Roman"/>
          <w:szCs w:val="24"/>
          <w:lang w:val="en-GB"/>
        </w:rPr>
        <w:t xml:space="preserve"> </w:t>
      </w:r>
      <w:r w:rsidR="00990CD4">
        <w:rPr>
          <w:rFonts w:ascii="Times New Roman" w:eastAsia="TimesNRMTPro" w:hAnsi="Times New Roman"/>
          <w:szCs w:val="24"/>
          <w:lang w:val="en-GB"/>
        </w:rPr>
        <w:t xml:space="preserve">demand deposits to be capital-certain, and if Islamic banks and their customers deem mudaraba demand deposits  incompatible with capital certainty, they will have to choose another form than mudaraba. </w:t>
      </w:r>
    </w:p>
    <w:p w:rsidR="006707C7" w:rsidRPr="00950DCB" w:rsidRDefault="00335743" w:rsidP="00A16A02">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 xml:space="preserve">Now the bank may guarantee the principal amount </w:t>
      </w:r>
      <w:r w:rsidR="00396557">
        <w:rPr>
          <w:rFonts w:ascii="Times New Roman" w:eastAsia="TimesNRMTPro" w:hAnsi="Times New Roman"/>
          <w:szCs w:val="24"/>
          <w:lang w:val="en-GB"/>
        </w:rPr>
        <w:t xml:space="preserve">of a demand deposit, but what if a bank fails? </w:t>
      </w:r>
      <w:r w:rsidR="006707C7">
        <w:rPr>
          <w:rFonts w:ascii="Times New Roman" w:eastAsia="TimesNRMTPro" w:hAnsi="Times New Roman"/>
          <w:szCs w:val="24"/>
          <w:lang w:val="en-GB"/>
        </w:rPr>
        <w:t xml:space="preserve">Is deposit insurance </w:t>
      </w:r>
      <w:r w:rsidR="00990CD4">
        <w:rPr>
          <w:rFonts w:ascii="Times New Roman" w:eastAsia="TimesNRMTPro" w:hAnsi="Times New Roman"/>
          <w:szCs w:val="24"/>
          <w:lang w:val="en-GB"/>
        </w:rPr>
        <w:t xml:space="preserve">acceptable </w:t>
      </w:r>
      <w:r w:rsidR="00C81594">
        <w:rPr>
          <w:rFonts w:ascii="Times New Roman" w:eastAsia="TimesNRMTPro" w:hAnsi="Times New Roman"/>
          <w:szCs w:val="24"/>
          <w:lang w:val="en-GB"/>
        </w:rPr>
        <w:t>from an Islamic point of view</w:t>
      </w:r>
      <w:r w:rsidR="006707C7">
        <w:rPr>
          <w:rFonts w:ascii="Times New Roman" w:eastAsia="TimesNRMTPro" w:hAnsi="Times New Roman"/>
          <w:szCs w:val="24"/>
          <w:lang w:val="en-GB"/>
        </w:rPr>
        <w:t>? With</w:t>
      </w:r>
      <w:r w:rsidR="00990CD4">
        <w:rPr>
          <w:rFonts w:ascii="Times New Roman" w:eastAsia="TimesNRMTPro" w:hAnsi="Times New Roman"/>
          <w:szCs w:val="24"/>
          <w:lang w:val="en-GB"/>
        </w:rPr>
        <w:t xml:space="preserve"> qard hasan </w:t>
      </w:r>
      <w:r w:rsidR="00396557">
        <w:rPr>
          <w:rFonts w:ascii="Times New Roman" w:eastAsia="TimesNRMTPro" w:hAnsi="Times New Roman"/>
          <w:szCs w:val="24"/>
          <w:lang w:val="en-GB"/>
        </w:rPr>
        <w:t xml:space="preserve">and wadia </w:t>
      </w:r>
      <w:r w:rsidR="00990CD4">
        <w:rPr>
          <w:rFonts w:ascii="Times New Roman" w:eastAsia="TimesNRMTPro" w:hAnsi="Times New Roman"/>
          <w:szCs w:val="24"/>
          <w:lang w:val="en-GB"/>
        </w:rPr>
        <w:t>accounts</w:t>
      </w:r>
      <w:r w:rsidR="00F83DEB">
        <w:rPr>
          <w:rFonts w:ascii="Times New Roman" w:eastAsia="TimesNRMTPro" w:hAnsi="Times New Roman"/>
          <w:szCs w:val="24"/>
          <w:lang w:val="en-GB"/>
        </w:rPr>
        <w:t xml:space="preserve"> it should</w:t>
      </w:r>
      <w:r w:rsidR="00C81594">
        <w:rPr>
          <w:rFonts w:ascii="Times New Roman" w:eastAsia="TimesNRMTPro" w:hAnsi="Times New Roman"/>
          <w:szCs w:val="24"/>
          <w:lang w:val="en-GB"/>
        </w:rPr>
        <w:t>, in principle</w:t>
      </w:r>
      <w:r w:rsidR="00B512D0">
        <w:rPr>
          <w:rFonts w:ascii="Times New Roman" w:eastAsia="TimesNRMTPro" w:hAnsi="Times New Roman"/>
          <w:szCs w:val="24"/>
          <w:lang w:val="en-GB"/>
        </w:rPr>
        <w:t>.</w:t>
      </w:r>
      <w:r w:rsidR="00F83DEB">
        <w:rPr>
          <w:rFonts w:ascii="Times New Roman" w:eastAsia="TimesNRMTPro" w:hAnsi="Times New Roman"/>
          <w:szCs w:val="24"/>
          <w:lang w:val="en-GB"/>
        </w:rPr>
        <w:t xml:space="preserve"> Islamic law allows guarantees by an external guarantor against a fee</w:t>
      </w:r>
      <w:r w:rsidR="00B512D0">
        <w:rPr>
          <w:rFonts w:ascii="Times New Roman" w:eastAsia="TimesNRMTPro" w:hAnsi="Times New Roman"/>
          <w:szCs w:val="24"/>
          <w:lang w:val="en-GB"/>
        </w:rPr>
        <w:t>, according to many, though not all, fiqh (Islamic jurisprudence) scholars (Usmani, 1998)</w:t>
      </w:r>
      <w:r w:rsidR="00F83DEB">
        <w:rPr>
          <w:rFonts w:ascii="Times New Roman" w:eastAsia="TimesNRMTPro" w:hAnsi="Times New Roman"/>
          <w:szCs w:val="24"/>
          <w:lang w:val="en-GB"/>
        </w:rPr>
        <w:t>. The Dutch system that</w:t>
      </w:r>
      <w:r w:rsidR="00950DCB">
        <w:rPr>
          <w:rFonts w:ascii="Times New Roman" w:eastAsia="TimesNRMTPro" w:hAnsi="Times New Roman"/>
          <w:szCs w:val="24"/>
          <w:lang w:val="en-GB"/>
        </w:rPr>
        <w:t xml:space="preserve"> will be </w:t>
      </w:r>
      <w:r w:rsidR="00F83DEB">
        <w:rPr>
          <w:rFonts w:ascii="Times New Roman" w:eastAsia="TimesNRMTPro" w:hAnsi="Times New Roman"/>
          <w:szCs w:val="24"/>
          <w:lang w:val="en-GB"/>
        </w:rPr>
        <w:t>phased out</w:t>
      </w:r>
      <w:r w:rsidR="00950DCB">
        <w:rPr>
          <w:rFonts w:ascii="Times New Roman" w:eastAsia="TimesNRMTPro" w:hAnsi="Times New Roman"/>
          <w:szCs w:val="24"/>
          <w:lang w:val="en-GB"/>
        </w:rPr>
        <w:t xml:space="preserve"> to make place for the European Deposit Insurance Scheme</w:t>
      </w:r>
      <w:r w:rsidR="00F83DEB">
        <w:rPr>
          <w:rFonts w:ascii="Times New Roman" w:eastAsia="TimesNRMTPro" w:hAnsi="Times New Roman"/>
          <w:szCs w:val="24"/>
          <w:lang w:val="en-GB"/>
        </w:rPr>
        <w:t xml:space="preserve"> might have been attractive to Islamic banks, as it provides for guarantees by the banks</w:t>
      </w:r>
      <w:r w:rsidR="00990CD4">
        <w:rPr>
          <w:rFonts w:ascii="Times New Roman" w:eastAsia="TimesNRMTPro" w:hAnsi="Times New Roman"/>
          <w:szCs w:val="24"/>
          <w:lang w:val="en-GB"/>
        </w:rPr>
        <w:t xml:space="preserve"> </w:t>
      </w:r>
      <w:r w:rsidR="00A16A02">
        <w:rPr>
          <w:rFonts w:ascii="Times New Roman" w:eastAsia="TimesNRMTPro" w:hAnsi="Times New Roman"/>
          <w:szCs w:val="24"/>
          <w:lang w:val="en-GB"/>
        </w:rPr>
        <w:t>collectively</w:t>
      </w:r>
      <w:r w:rsidR="00F83DEB">
        <w:rPr>
          <w:rFonts w:ascii="Times New Roman" w:eastAsia="TimesNRMTPro" w:hAnsi="Times New Roman"/>
          <w:szCs w:val="24"/>
          <w:lang w:val="en-GB"/>
        </w:rPr>
        <w:t xml:space="preserve"> to come to the rescue of depositors of a failed bank</w:t>
      </w:r>
      <w:r w:rsidR="00990CD4">
        <w:rPr>
          <w:rFonts w:ascii="Times New Roman" w:eastAsia="TimesNRMTPro" w:hAnsi="Times New Roman"/>
          <w:szCs w:val="24"/>
          <w:lang w:val="en-GB"/>
        </w:rPr>
        <w:t>, without any pre-paid contributions to a fund</w:t>
      </w:r>
      <w:r w:rsidR="00F83DEB">
        <w:rPr>
          <w:rFonts w:ascii="Times New Roman" w:eastAsia="TimesNRMTPro" w:hAnsi="Times New Roman"/>
          <w:szCs w:val="24"/>
          <w:lang w:val="en-GB"/>
        </w:rPr>
        <w:t>. Islamic banks and their sharia boards</w:t>
      </w:r>
      <w:r w:rsidR="00A16A02">
        <w:rPr>
          <w:rFonts w:ascii="Times New Roman" w:eastAsia="TimesNRMTPro" w:hAnsi="Times New Roman"/>
          <w:szCs w:val="24"/>
          <w:lang w:val="en-GB"/>
        </w:rPr>
        <w:t xml:space="preserve"> </w:t>
      </w:r>
      <w:r w:rsidR="00F83DEB">
        <w:rPr>
          <w:rFonts w:ascii="Times New Roman" w:eastAsia="TimesNRMTPro" w:hAnsi="Times New Roman"/>
          <w:szCs w:val="24"/>
          <w:lang w:val="en-GB"/>
        </w:rPr>
        <w:t xml:space="preserve">could interpret this construction as </w:t>
      </w:r>
      <w:r w:rsidR="00F83DEB" w:rsidRPr="00A16A02">
        <w:rPr>
          <w:rFonts w:ascii="Times New Roman" w:eastAsia="TimesNRMTPro" w:hAnsi="Times New Roman"/>
          <w:szCs w:val="24"/>
          <w:lang w:val="en-GB"/>
        </w:rPr>
        <w:t>takaful</w:t>
      </w:r>
      <w:r w:rsidR="00F83DEB">
        <w:rPr>
          <w:rFonts w:ascii="Times New Roman" w:eastAsia="TimesNRMTPro" w:hAnsi="Times New Roman"/>
          <w:i/>
          <w:szCs w:val="24"/>
          <w:lang w:val="en-GB"/>
        </w:rPr>
        <w:t xml:space="preserve"> </w:t>
      </w:r>
      <w:r w:rsidR="00F83DEB">
        <w:rPr>
          <w:rFonts w:ascii="Times New Roman" w:eastAsia="TimesNRMTPro" w:hAnsi="Times New Roman"/>
          <w:szCs w:val="24"/>
          <w:lang w:val="en-GB"/>
        </w:rPr>
        <w:t>or, literally, mutual support.</w:t>
      </w:r>
      <w:r w:rsidR="00950DCB">
        <w:rPr>
          <w:rFonts w:ascii="Times New Roman" w:eastAsia="TimesNRMTPro" w:hAnsi="Times New Roman"/>
          <w:szCs w:val="24"/>
          <w:lang w:val="en-GB"/>
        </w:rPr>
        <w:t xml:space="preserve"> A deposit insurance fund with pre-paid con</w:t>
      </w:r>
      <w:r w:rsidR="00CC5867">
        <w:rPr>
          <w:rFonts w:ascii="Times New Roman" w:eastAsia="TimesNRMTPro" w:hAnsi="Times New Roman"/>
          <w:szCs w:val="24"/>
          <w:lang w:val="en-GB"/>
        </w:rPr>
        <w:t>tributions, such as the</w:t>
      </w:r>
      <w:r w:rsidR="00950DCB">
        <w:rPr>
          <w:rFonts w:ascii="Times New Roman" w:eastAsia="TimesNRMTPro" w:hAnsi="Times New Roman"/>
          <w:szCs w:val="24"/>
          <w:lang w:val="en-GB"/>
        </w:rPr>
        <w:t xml:space="preserve"> European</w:t>
      </w:r>
      <w:r w:rsidR="00CC5867">
        <w:rPr>
          <w:rFonts w:ascii="Times New Roman" w:eastAsia="TimesNRMTPro" w:hAnsi="Times New Roman"/>
          <w:szCs w:val="24"/>
          <w:lang w:val="en-GB"/>
        </w:rPr>
        <w:t xml:space="preserve"> </w:t>
      </w:r>
      <w:r w:rsidR="00BA1305">
        <w:rPr>
          <w:rFonts w:ascii="Times New Roman" w:eastAsia="TimesNRMTPro" w:hAnsi="Times New Roman"/>
          <w:szCs w:val="24"/>
          <w:lang w:val="en-GB"/>
        </w:rPr>
        <w:t xml:space="preserve">Banking </w:t>
      </w:r>
      <w:r w:rsidR="00CC5867">
        <w:rPr>
          <w:rFonts w:ascii="Times New Roman" w:eastAsia="TimesNRMTPro" w:hAnsi="Times New Roman"/>
          <w:szCs w:val="24"/>
          <w:lang w:val="en-GB"/>
        </w:rPr>
        <w:t>Union</w:t>
      </w:r>
      <w:r w:rsidR="00950DCB">
        <w:rPr>
          <w:rFonts w:ascii="Times New Roman" w:eastAsia="TimesNRMTPro" w:hAnsi="Times New Roman"/>
          <w:szCs w:val="24"/>
          <w:lang w:val="en-GB"/>
        </w:rPr>
        <w:t xml:space="preserve"> fund, will be much more difficult for sharia boards</w:t>
      </w:r>
      <w:r w:rsidR="00950DCB" w:rsidRPr="00950DCB">
        <w:rPr>
          <w:rFonts w:ascii="Times New Roman" w:eastAsia="TimesNRMTPro" w:hAnsi="Times New Roman"/>
          <w:szCs w:val="24"/>
          <w:lang w:val="en-GB"/>
        </w:rPr>
        <w:t xml:space="preserve"> </w:t>
      </w:r>
      <w:r w:rsidR="00990CD4">
        <w:rPr>
          <w:rFonts w:ascii="Times New Roman" w:eastAsia="TimesNRMTPro" w:hAnsi="Times New Roman"/>
          <w:szCs w:val="24"/>
          <w:lang w:val="en-GB"/>
        </w:rPr>
        <w:t>to swallow</w:t>
      </w:r>
      <w:r w:rsidR="00950DCB">
        <w:rPr>
          <w:rFonts w:ascii="Times New Roman" w:eastAsia="TimesNRMTPro" w:hAnsi="Times New Roman"/>
          <w:szCs w:val="24"/>
          <w:lang w:val="en-GB"/>
        </w:rPr>
        <w:t xml:space="preserve">. Most probably the funds will be mainly invested in interest-bearing securities, which goes against the prohibition of </w:t>
      </w:r>
      <w:r w:rsidR="00950DCB" w:rsidRPr="00A16A02">
        <w:rPr>
          <w:rFonts w:ascii="Times New Roman" w:eastAsia="TimesNRMTPro" w:hAnsi="Times New Roman"/>
          <w:szCs w:val="24"/>
          <w:lang w:val="en-GB"/>
        </w:rPr>
        <w:t>riba</w:t>
      </w:r>
      <w:r w:rsidR="00950DCB">
        <w:rPr>
          <w:rFonts w:ascii="Times New Roman" w:eastAsia="TimesNRMTPro" w:hAnsi="Times New Roman"/>
          <w:szCs w:val="24"/>
          <w:lang w:val="en-GB"/>
        </w:rPr>
        <w:t xml:space="preserve">. Islamic banks will have to stomach a riba-based fund, </w:t>
      </w:r>
      <w:r w:rsidR="00990CD4">
        <w:rPr>
          <w:rFonts w:ascii="Times New Roman" w:eastAsia="TimesNRMTPro" w:hAnsi="Times New Roman"/>
          <w:szCs w:val="24"/>
          <w:lang w:val="en-GB"/>
        </w:rPr>
        <w:t xml:space="preserve">accepting </w:t>
      </w:r>
      <w:r w:rsidR="00950DCB">
        <w:rPr>
          <w:rFonts w:ascii="Times New Roman" w:eastAsia="TimesNRMTPro" w:hAnsi="Times New Roman"/>
          <w:szCs w:val="24"/>
          <w:lang w:val="en-GB"/>
        </w:rPr>
        <w:t>it</w:t>
      </w:r>
      <w:r w:rsidR="00990CD4">
        <w:rPr>
          <w:rFonts w:ascii="Times New Roman" w:eastAsia="TimesNRMTPro" w:hAnsi="Times New Roman"/>
          <w:szCs w:val="24"/>
          <w:lang w:val="en-GB"/>
        </w:rPr>
        <w:t xml:space="preserve"> as</w:t>
      </w:r>
      <w:r w:rsidR="00950DCB">
        <w:rPr>
          <w:rFonts w:ascii="Times New Roman" w:eastAsia="TimesNRMTPro" w:hAnsi="Times New Roman"/>
          <w:szCs w:val="24"/>
          <w:lang w:val="en-GB"/>
        </w:rPr>
        <w:t xml:space="preserve"> a case of  </w:t>
      </w:r>
      <w:r w:rsidR="00950DCB" w:rsidRPr="00A16A02">
        <w:rPr>
          <w:rFonts w:ascii="Times New Roman" w:eastAsia="TimesNRMTPro" w:hAnsi="Times New Roman"/>
          <w:szCs w:val="24"/>
          <w:lang w:val="en-GB"/>
        </w:rPr>
        <w:t xml:space="preserve">darura </w:t>
      </w:r>
      <w:r w:rsidR="00950DCB">
        <w:rPr>
          <w:rFonts w:ascii="Times New Roman" w:eastAsia="TimesNRMTPro" w:hAnsi="Times New Roman"/>
          <w:szCs w:val="24"/>
          <w:lang w:val="en-GB"/>
        </w:rPr>
        <w:t xml:space="preserve">or necessity (force majeure). European supervisors </w:t>
      </w:r>
      <w:r w:rsidR="00362FF3">
        <w:rPr>
          <w:rFonts w:ascii="Times New Roman" w:eastAsia="TimesNRMTPro" w:hAnsi="Times New Roman"/>
          <w:szCs w:val="24"/>
          <w:lang w:val="en-GB"/>
        </w:rPr>
        <w:t xml:space="preserve">and regulators </w:t>
      </w:r>
      <w:r w:rsidR="00950DCB">
        <w:rPr>
          <w:rFonts w:ascii="Times New Roman" w:eastAsia="TimesNRMTPro" w:hAnsi="Times New Roman"/>
          <w:szCs w:val="24"/>
          <w:lang w:val="en-GB"/>
        </w:rPr>
        <w:t>could alternatively consider a separate fund for Islamic banks</w:t>
      </w:r>
      <w:r w:rsidR="00CD5DFB">
        <w:rPr>
          <w:rFonts w:ascii="Times New Roman" w:eastAsia="TimesNRMTPro" w:hAnsi="Times New Roman"/>
          <w:szCs w:val="24"/>
          <w:lang w:val="en-GB"/>
        </w:rPr>
        <w:t xml:space="preserve">, which </w:t>
      </w:r>
      <w:r w:rsidR="0035508F">
        <w:rPr>
          <w:rFonts w:ascii="Times New Roman" w:eastAsia="TimesNRMTPro" w:hAnsi="Times New Roman"/>
          <w:szCs w:val="24"/>
          <w:lang w:val="en-GB"/>
        </w:rPr>
        <w:t>w</w:t>
      </w:r>
      <w:r w:rsidR="00CD5DFB">
        <w:rPr>
          <w:rFonts w:ascii="Times New Roman" w:eastAsia="TimesNRMTPro" w:hAnsi="Times New Roman"/>
          <w:szCs w:val="24"/>
          <w:lang w:val="en-GB"/>
        </w:rPr>
        <w:t>ould inves</w:t>
      </w:r>
      <w:r w:rsidR="00A16A02">
        <w:rPr>
          <w:rFonts w:ascii="Times New Roman" w:eastAsia="TimesNRMTPro" w:hAnsi="Times New Roman"/>
          <w:szCs w:val="24"/>
          <w:lang w:val="en-GB"/>
        </w:rPr>
        <w:t xml:space="preserve">t its money in sharia-compliant </w:t>
      </w:r>
      <w:r w:rsidR="00CD5DFB">
        <w:rPr>
          <w:rFonts w:ascii="Times New Roman" w:eastAsia="TimesNRMTPro" w:hAnsi="Times New Roman"/>
          <w:szCs w:val="24"/>
          <w:lang w:val="en-GB"/>
        </w:rPr>
        <w:t xml:space="preserve">ways. </w:t>
      </w:r>
      <w:r w:rsidR="00184FE7">
        <w:rPr>
          <w:rFonts w:ascii="Times New Roman" w:eastAsia="TimesNRMTPro" w:hAnsi="Times New Roman"/>
          <w:szCs w:val="24"/>
          <w:lang w:val="en-GB"/>
        </w:rPr>
        <w:t xml:space="preserve">The downside is that less money would be available </w:t>
      </w:r>
      <w:r w:rsidR="00BA1305">
        <w:rPr>
          <w:rFonts w:ascii="Times New Roman" w:eastAsia="TimesNRMTPro" w:hAnsi="Times New Roman"/>
          <w:szCs w:val="24"/>
          <w:lang w:val="en-GB"/>
        </w:rPr>
        <w:t>to deal with</w:t>
      </w:r>
      <w:r w:rsidR="00184FE7">
        <w:rPr>
          <w:rFonts w:ascii="Times New Roman" w:eastAsia="TimesNRMTPro" w:hAnsi="Times New Roman"/>
          <w:szCs w:val="24"/>
          <w:lang w:val="en-GB"/>
        </w:rPr>
        <w:t xml:space="preserve"> any given calamity.</w:t>
      </w:r>
      <w:r w:rsidR="009300CD">
        <w:rPr>
          <w:rFonts w:ascii="Times New Roman" w:eastAsia="TimesNRMTPro" w:hAnsi="Times New Roman"/>
          <w:szCs w:val="24"/>
          <w:lang w:val="en-GB"/>
        </w:rPr>
        <w:t xml:space="preserve"> The solution suggested by Gimigliano (2016) that Islamic banks mimic the mutual assistance character of takaful by agreeing to make voluntary contributions does not answer the problen of riba-tainted investments by the guarantee fund.</w:t>
      </w:r>
    </w:p>
    <w:p w:rsidR="00280823" w:rsidRDefault="00184FE7" w:rsidP="00EF189A">
      <w:pPr>
        <w:spacing w:line="288" w:lineRule="auto"/>
        <w:rPr>
          <w:rFonts w:ascii="Times New Roman" w:eastAsia="TimesNRMTPro" w:hAnsi="Times New Roman"/>
          <w:szCs w:val="24"/>
          <w:lang w:val="en-GB"/>
        </w:rPr>
      </w:pPr>
      <w:r>
        <w:rPr>
          <w:rFonts w:ascii="Times New Roman" w:eastAsia="TimesNRMTPro" w:hAnsi="Times New Roman"/>
          <w:szCs w:val="24"/>
          <w:lang w:val="en-GB"/>
        </w:rPr>
        <w:tab/>
        <w:t>Savings accounts could be structured in the same way as demand deposits, that is, as a wadia</w:t>
      </w:r>
      <w:r w:rsidR="009E5E04">
        <w:rPr>
          <w:rFonts w:ascii="Times New Roman" w:eastAsia="TimesNRMTPro" w:hAnsi="Times New Roman"/>
          <w:szCs w:val="24"/>
          <w:lang w:val="en-GB"/>
        </w:rPr>
        <w:t>, as in Malaysia,</w:t>
      </w:r>
      <w:r>
        <w:rPr>
          <w:rFonts w:ascii="Times New Roman" w:eastAsia="TimesNRMTPro" w:hAnsi="Times New Roman"/>
          <w:szCs w:val="24"/>
          <w:lang w:val="en-GB"/>
        </w:rPr>
        <w:t xml:space="preserve"> or a qard hasan account,</w:t>
      </w:r>
      <w:r w:rsidR="009E5E04">
        <w:rPr>
          <w:rFonts w:ascii="Times New Roman" w:eastAsia="TimesNRMTPro" w:hAnsi="Times New Roman"/>
          <w:szCs w:val="24"/>
          <w:lang w:val="en-GB"/>
        </w:rPr>
        <w:t xml:space="preserve"> as in Iran,</w:t>
      </w:r>
      <w:r>
        <w:rPr>
          <w:rFonts w:ascii="Times New Roman" w:eastAsia="TimesNRMTPro" w:hAnsi="Times New Roman"/>
          <w:szCs w:val="24"/>
          <w:lang w:val="en-GB"/>
        </w:rPr>
        <w:t xml:space="preserve"> with perhaps allowing people to opt for a mudaraba account if they accept to go without deposit insurance. </w:t>
      </w:r>
      <w:r w:rsidR="009E5E04">
        <w:rPr>
          <w:rFonts w:ascii="Times New Roman" w:eastAsia="TimesNRMTPro" w:hAnsi="Times New Roman"/>
          <w:szCs w:val="24"/>
          <w:lang w:val="en-GB"/>
        </w:rPr>
        <w:t xml:space="preserve">Banks could provide a yield on </w:t>
      </w:r>
      <w:r w:rsidR="00280823">
        <w:rPr>
          <w:rFonts w:ascii="Times New Roman" w:eastAsia="TimesNRMTPro" w:hAnsi="Times New Roman"/>
          <w:szCs w:val="24"/>
          <w:lang w:val="en-GB"/>
        </w:rPr>
        <w:t xml:space="preserve">wadia or qard hasan </w:t>
      </w:r>
      <w:r w:rsidR="009E5E04">
        <w:rPr>
          <w:rFonts w:ascii="Times New Roman" w:eastAsia="TimesNRMTPro" w:hAnsi="Times New Roman"/>
          <w:szCs w:val="24"/>
          <w:lang w:val="en-GB"/>
        </w:rPr>
        <w:t xml:space="preserve">savings accounts in the form of a </w:t>
      </w:r>
      <w:r w:rsidR="009E5E04">
        <w:rPr>
          <w:rFonts w:ascii="Times New Roman" w:eastAsia="TimesNRMTPro" w:hAnsi="Times New Roman"/>
          <w:i/>
          <w:szCs w:val="24"/>
          <w:lang w:val="en-GB"/>
        </w:rPr>
        <w:t>hiba</w:t>
      </w:r>
      <w:r w:rsidR="009E5E04">
        <w:rPr>
          <w:rFonts w:ascii="Times New Roman" w:eastAsia="TimesNRMTPro" w:hAnsi="Times New Roman"/>
          <w:szCs w:val="24"/>
          <w:lang w:val="en-GB"/>
        </w:rPr>
        <w:t xml:space="preserve"> or gift. Of course, such a gift cannot be promised in advance, not formally at least, because that would taint the account with riba. </w:t>
      </w:r>
      <w:r w:rsidR="00B82F0E">
        <w:rPr>
          <w:rFonts w:ascii="Times New Roman" w:eastAsia="TimesNRMTPro" w:hAnsi="Times New Roman"/>
          <w:szCs w:val="24"/>
          <w:lang w:val="en-GB"/>
        </w:rPr>
        <w:t>With mudaraba accounts, howeve</w:t>
      </w:r>
      <w:r w:rsidR="00396557">
        <w:rPr>
          <w:rFonts w:ascii="Times New Roman" w:eastAsia="TimesNRMTPro" w:hAnsi="Times New Roman"/>
          <w:szCs w:val="24"/>
          <w:lang w:val="en-GB"/>
        </w:rPr>
        <w:t>r, potential conflicts between s</w:t>
      </w:r>
      <w:r w:rsidR="00B82F0E">
        <w:rPr>
          <w:rFonts w:ascii="Times New Roman" w:eastAsia="TimesNRMTPro" w:hAnsi="Times New Roman"/>
          <w:szCs w:val="24"/>
          <w:lang w:val="en-GB"/>
        </w:rPr>
        <w:t xml:space="preserve">haria and prevailing banking law arise. </w:t>
      </w:r>
      <w:r w:rsidR="009E5E04">
        <w:rPr>
          <w:rFonts w:ascii="Times New Roman" w:eastAsia="TimesNRMTPro" w:hAnsi="Times New Roman"/>
          <w:szCs w:val="24"/>
          <w:lang w:val="en-GB"/>
        </w:rPr>
        <w:t>B</w:t>
      </w:r>
      <w:r w:rsidR="00BA1305">
        <w:rPr>
          <w:rFonts w:ascii="Times New Roman" w:eastAsia="TimesNRMTPro" w:hAnsi="Times New Roman"/>
          <w:szCs w:val="24"/>
          <w:lang w:val="en-GB"/>
        </w:rPr>
        <w:t>anks</w:t>
      </w:r>
      <w:r w:rsidR="00990CD4">
        <w:rPr>
          <w:rFonts w:ascii="Times New Roman" w:eastAsia="TimesNRMTPro" w:hAnsi="Times New Roman"/>
          <w:szCs w:val="24"/>
          <w:lang w:val="en-GB"/>
        </w:rPr>
        <w:t xml:space="preserve"> would ge</w:t>
      </w:r>
      <w:r w:rsidR="00362FF3">
        <w:rPr>
          <w:rFonts w:ascii="Times New Roman" w:eastAsia="TimesNRMTPro" w:hAnsi="Times New Roman"/>
          <w:szCs w:val="24"/>
          <w:lang w:val="en-GB"/>
        </w:rPr>
        <w:t>nerally be obliged by regulator</w:t>
      </w:r>
      <w:r w:rsidR="00990CD4">
        <w:rPr>
          <w:rFonts w:ascii="Times New Roman" w:eastAsia="TimesNRMTPro" w:hAnsi="Times New Roman"/>
          <w:szCs w:val="24"/>
          <w:lang w:val="en-GB"/>
        </w:rPr>
        <w:t>s to provide capital certainty</w:t>
      </w:r>
      <w:r w:rsidR="00B82F0E">
        <w:rPr>
          <w:rFonts w:ascii="Times New Roman" w:eastAsia="TimesNRMTPro" w:hAnsi="Times New Roman"/>
          <w:szCs w:val="24"/>
          <w:lang w:val="en-GB"/>
        </w:rPr>
        <w:t xml:space="preserve">, but that </w:t>
      </w:r>
      <w:r w:rsidR="00DF0B3B">
        <w:rPr>
          <w:rFonts w:ascii="Times New Roman" w:eastAsia="TimesNRMTPro" w:hAnsi="Times New Roman"/>
          <w:szCs w:val="24"/>
          <w:lang w:val="en-GB"/>
        </w:rPr>
        <w:t xml:space="preserve">would </w:t>
      </w:r>
      <w:r w:rsidR="00B82F0E">
        <w:rPr>
          <w:rFonts w:ascii="Times New Roman" w:eastAsia="TimesNRMTPro" w:hAnsi="Times New Roman"/>
          <w:szCs w:val="24"/>
          <w:lang w:val="en-GB"/>
        </w:rPr>
        <w:t>conflict with the character of mudaraba</w:t>
      </w:r>
      <w:r w:rsidR="00990CD4">
        <w:rPr>
          <w:rFonts w:ascii="Times New Roman" w:eastAsia="TimesNRMTPro" w:hAnsi="Times New Roman"/>
          <w:szCs w:val="24"/>
          <w:lang w:val="en-GB"/>
        </w:rPr>
        <w:t xml:space="preserve">. </w:t>
      </w:r>
      <w:r w:rsidR="0096444C">
        <w:rPr>
          <w:rFonts w:ascii="Times New Roman" w:eastAsia="TimesNRMTPro" w:hAnsi="Times New Roman"/>
          <w:szCs w:val="24"/>
          <w:lang w:val="en-GB"/>
        </w:rPr>
        <w:t xml:space="preserve">The </w:t>
      </w:r>
      <w:r w:rsidR="00990CD4">
        <w:rPr>
          <w:rFonts w:ascii="Times New Roman" w:eastAsia="TimesNRMTPro" w:hAnsi="Times New Roman"/>
          <w:szCs w:val="24"/>
          <w:lang w:val="en-GB"/>
        </w:rPr>
        <w:t xml:space="preserve">Islamic </w:t>
      </w:r>
      <w:r w:rsidR="0096444C">
        <w:rPr>
          <w:rFonts w:ascii="Times New Roman" w:eastAsia="TimesNRMTPro" w:hAnsi="Times New Roman"/>
          <w:szCs w:val="24"/>
          <w:lang w:val="en-GB"/>
        </w:rPr>
        <w:t>B</w:t>
      </w:r>
      <w:r w:rsidR="00990CD4">
        <w:rPr>
          <w:rFonts w:ascii="Times New Roman" w:eastAsia="TimesNRMTPro" w:hAnsi="Times New Roman"/>
          <w:szCs w:val="24"/>
          <w:lang w:val="en-GB"/>
        </w:rPr>
        <w:t>ank</w:t>
      </w:r>
      <w:r w:rsidR="0096444C">
        <w:rPr>
          <w:rFonts w:ascii="Times New Roman" w:eastAsia="TimesNRMTPro" w:hAnsi="Times New Roman"/>
          <w:szCs w:val="24"/>
          <w:lang w:val="en-GB"/>
        </w:rPr>
        <w:t xml:space="preserve"> of Britain came to an agreement with the Financial Services Authority and resolved</w:t>
      </w:r>
      <w:r w:rsidR="00B82F0E">
        <w:rPr>
          <w:rFonts w:ascii="Times New Roman" w:eastAsia="TimesNRMTPro" w:hAnsi="Times New Roman"/>
          <w:szCs w:val="24"/>
          <w:lang w:val="en-GB"/>
        </w:rPr>
        <w:t xml:space="preserve"> this conflict by offering full repayment of the savings deposits while informing account holders how much they would receive </w:t>
      </w:r>
      <w:r w:rsidR="00E123DF">
        <w:rPr>
          <w:rFonts w:ascii="Times New Roman" w:eastAsia="TimesNRMTPro" w:hAnsi="Times New Roman"/>
          <w:szCs w:val="24"/>
          <w:lang w:val="en-GB"/>
        </w:rPr>
        <w:t xml:space="preserve">in a loss-making situation if the character of a mudaraba </w:t>
      </w:r>
      <w:r w:rsidR="0035508F">
        <w:rPr>
          <w:rFonts w:ascii="Times New Roman" w:eastAsia="TimesNRMTPro" w:hAnsi="Times New Roman"/>
          <w:szCs w:val="24"/>
          <w:lang w:val="en-GB"/>
        </w:rPr>
        <w:t>were</w:t>
      </w:r>
      <w:r w:rsidR="00E123DF">
        <w:rPr>
          <w:rFonts w:ascii="Times New Roman" w:eastAsia="TimesNRMTPro" w:hAnsi="Times New Roman"/>
          <w:szCs w:val="24"/>
          <w:lang w:val="en-GB"/>
        </w:rPr>
        <w:t xml:space="preserve"> fully maintained.</w:t>
      </w:r>
      <w:r w:rsidR="00B82F0E">
        <w:rPr>
          <w:rFonts w:ascii="Times New Roman" w:eastAsia="TimesNRMTPro" w:hAnsi="Times New Roman"/>
          <w:szCs w:val="24"/>
          <w:lang w:val="en-GB"/>
        </w:rPr>
        <w:t xml:space="preserve"> </w:t>
      </w:r>
      <w:r w:rsidR="00396557">
        <w:rPr>
          <w:rFonts w:ascii="Times New Roman" w:eastAsia="TimesNRMTPro" w:hAnsi="Times New Roman"/>
          <w:szCs w:val="24"/>
          <w:lang w:val="en-GB"/>
        </w:rPr>
        <w:t>Clients</w:t>
      </w:r>
      <w:r w:rsidR="00E123DF">
        <w:rPr>
          <w:rFonts w:ascii="Times New Roman" w:eastAsia="TimesNRMTPro" w:hAnsi="Times New Roman"/>
          <w:szCs w:val="24"/>
          <w:lang w:val="en-GB"/>
        </w:rPr>
        <w:t xml:space="preserve"> who let their obedience to sharia prevail </w:t>
      </w:r>
      <w:r w:rsidR="0096444C">
        <w:rPr>
          <w:rFonts w:ascii="Times New Roman" w:eastAsia="TimesNRMTPro" w:hAnsi="Times New Roman"/>
          <w:szCs w:val="24"/>
          <w:lang w:val="en-GB"/>
        </w:rPr>
        <w:t>had</w:t>
      </w:r>
      <w:r w:rsidR="00E123DF">
        <w:rPr>
          <w:rFonts w:ascii="Times New Roman" w:eastAsia="TimesNRMTPro" w:hAnsi="Times New Roman"/>
          <w:szCs w:val="24"/>
          <w:lang w:val="en-GB"/>
        </w:rPr>
        <w:t xml:space="preserve"> the option to refuse full repayment (</w:t>
      </w:r>
      <w:r w:rsidR="00EF189A">
        <w:rPr>
          <w:rFonts w:ascii="Times New Roman" w:eastAsia="TimesNRMTPro" w:hAnsi="Times New Roman"/>
          <w:szCs w:val="24"/>
          <w:lang w:val="en-GB"/>
        </w:rPr>
        <w:t>Chiu and Newberger</w:t>
      </w:r>
      <w:r w:rsidR="00396557">
        <w:rPr>
          <w:rFonts w:ascii="Times New Roman" w:eastAsia="TimesNRMTPro" w:hAnsi="Times New Roman"/>
          <w:szCs w:val="24"/>
          <w:lang w:val="en-GB"/>
        </w:rPr>
        <w:t>,</w:t>
      </w:r>
      <w:r w:rsidR="00EF189A">
        <w:rPr>
          <w:rFonts w:ascii="Times New Roman" w:eastAsia="TimesNRMTPro" w:hAnsi="Times New Roman"/>
          <w:szCs w:val="24"/>
          <w:lang w:val="en-GB"/>
        </w:rPr>
        <w:t xml:space="preserve"> 2006</w:t>
      </w:r>
      <w:r w:rsidR="00396557">
        <w:rPr>
          <w:rFonts w:ascii="Times New Roman" w:eastAsia="TimesNRMTPro" w:hAnsi="Times New Roman"/>
          <w:szCs w:val="24"/>
          <w:lang w:val="en-GB"/>
        </w:rPr>
        <w:t>;</w:t>
      </w:r>
      <w:r w:rsidR="00EF189A" w:rsidRPr="00D35F2A">
        <w:rPr>
          <w:rFonts w:ascii="Times New Roman" w:eastAsia="TimesNRMTPro" w:hAnsi="Times New Roman"/>
          <w:szCs w:val="24"/>
          <w:lang w:val="en-GB"/>
        </w:rPr>
        <w:t xml:space="preserve"> Ainley</w:t>
      </w:r>
      <w:r w:rsidR="0035508F">
        <w:rPr>
          <w:rFonts w:ascii="Times New Roman" w:eastAsia="TimesNRMTPro" w:hAnsi="Times New Roman"/>
          <w:szCs w:val="24"/>
          <w:lang w:val="en-GB"/>
        </w:rPr>
        <w:t xml:space="preserve"> </w:t>
      </w:r>
      <w:r w:rsidR="00EF189A" w:rsidRPr="00D35F2A">
        <w:rPr>
          <w:rFonts w:ascii="Times New Roman" w:eastAsia="TimesNRMTPro" w:hAnsi="Times New Roman"/>
          <w:szCs w:val="24"/>
          <w:lang w:val="en-GB"/>
        </w:rPr>
        <w:t>et al.</w:t>
      </w:r>
      <w:r w:rsidR="00396557">
        <w:rPr>
          <w:rFonts w:ascii="Times New Roman" w:eastAsia="TimesNRMTPro" w:hAnsi="Times New Roman"/>
          <w:szCs w:val="24"/>
          <w:lang w:val="en-GB"/>
        </w:rPr>
        <w:t>,</w:t>
      </w:r>
      <w:r w:rsidR="00EF189A" w:rsidRPr="00D35F2A">
        <w:rPr>
          <w:rFonts w:ascii="Times New Roman" w:eastAsia="TimesNRMTPro" w:hAnsi="Times New Roman"/>
          <w:szCs w:val="24"/>
          <w:lang w:val="en-GB"/>
        </w:rPr>
        <w:t xml:space="preserve"> 2007</w:t>
      </w:r>
      <w:r w:rsidR="00396557">
        <w:rPr>
          <w:rFonts w:ascii="Times New Roman" w:eastAsia="TimesNRMTPro" w:hAnsi="Times New Roman"/>
          <w:szCs w:val="24"/>
          <w:lang w:val="en-GB"/>
        </w:rPr>
        <w:t>;</w:t>
      </w:r>
      <w:r w:rsidR="00EF189A">
        <w:rPr>
          <w:rFonts w:ascii="Times New Roman" w:eastAsia="TimesNRMTPro" w:hAnsi="Times New Roman"/>
          <w:szCs w:val="24"/>
          <w:lang w:val="en-GB"/>
        </w:rPr>
        <w:t xml:space="preserve"> </w:t>
      </w:r>
      <w:r w:rsidR="00E123DF">
        <w:rPr>
          <w:rFonts w:ascii="Times New Roman" w:eastAsia="TimesNRMTPro" w:hAnsi="Times New Roman"/>
          <w:szCs w:val="24"/>
          <w:lang w:val="en-GB"/>
        </w:rPr>
        <w:t>Ahmad</w:t>
      </w:r>
      <w:r w:rsidR="00396557">
        <w:rPr>
          <w:rFonts w:ascii="Times New Roman" w:eastAsia="TimesNRMTPro" w:hAnsi="Times New Roman"/>
          <w:szCs w:val="24"/>
          <w:lang w:val="en-GB"/>
        </w:rPr>
        <w:t>,</w:t>
      </w:r>
      <w:r w:rsidR="00E123DF">
        <w:rPr>
          <w:rFonts w:ascii="Times New Roman" w:eastAsia="TimesNRMTPro" w:hAnsi="Times New Roman"/>
          <w:szCs w:val="24"/>
          <w:lang w:val="en-GB"/>
        </w:rPr>
        <w:t xml:space="preserve"> 2013</w:t>
      </w:r>
      <w:r w:rsidR="009A737D">
        <w:rPr>
          <w:rFonts w:ascii="Times New Roman" w:eastAsia="TimesNRMTPro" w:hAnsi="Times New Roman"/>
          <w:szCs w:val="24"/>
          <w:lang w:val="en-GB"/>
        </w:rPr>
        <w:t xml:space="preserve"> p. 105).</w:t>
      </w:r>
      <w:r w:rsidR="00542906">
        <w:rPr>
          <w:rFonts w:ascii="Times New Roman" w:eastAsia="TimesNRMTPro" w:hAnsi="Times New Roman"/>
          <w:szCs w:val="24"/>
          <w:lang w:val="en-GB"/>
        </w:rPr>
        <w:t xml:space="preserve"> </w:t>
      </w:r>
    </w:p>
    <w:p w:rsidR="00DF0B3B" w:rsidRDefault="009A737D" w:rsidP="00280823">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 xml:space="preserve"> In practice b</w:t>
      </w:r>
      <w:r w:rsidR="00E123DF">
        <w:rPr>
          <w:rFonts w:ascii="Times New Roman" w:eastAsia="TimesNRMTPro" w:hAnsi="Times New Roman"/>
          <w:szCs w:val="24"/>
          <w:lang w:val="en-GB"/>
        </w:rPr>
        <w:t xml:space="preserve">anks try to prevent a situation where depositors would be confronted with a negative return. </w:t>
      </w:r>
      <w:r w:rsidR="00B315FE">
        <w:rPr>
          <w:rFonts w:ascii="Times New Roman" w:eastAsia="TimesNRMTPro" w:hAnsi="Times New Roman"/>
          <w:szCs w:val="24"/>
          <w:lang w:val="en-GB"/>
        </w:rPr>
        <w:t xml:space="preserve">To this end they set part of their profits aside in a Profit Equalization Reserve, enabling them in lean years to pay a return on deposits comparable with the interest rate paid by conventional banks on their savings deposits. </w:t>
      </w:r>
      <w:r w:rsidR="00DF0B3B">
        <w:rPr>
          <w:rFonts w:ascii="Times New Roman" w:eastAsia="TimesNRMTPro" w:hAnsi="Times New Roman"/>
          <w:szCs w:val="24"/>
          <w:lang w:val="en-GB"/>
        </w:rPr>
        <w:t xml:space="preserve">Of course, account holders are also free to refuse compensation under a guarantee scheme for money lost in a bank failure. In cases where banks face restrictions on funding a Profit Equalization Reserve, supervisors might consider loosening these, </w:t>
      </w:r>
      <w:r w:rsidR="0096444C">
        <w:rPr>
          <w:rFonts w:ascii="Times New Roman" w:eastAsia="TimesNRMTPro" w:hAnsi="Times New Roman"/>
          <w:szCs w:val="24"/>
          <w:lang w:val="en-GB"/>
        </w:rPr>
        <w:t>in order to enable Islamic banks to compete on equal terms with conventional banks</w:t>
      </w:r>
      <w:r w:rsidR="00DF0B3B">
        <w:rPr>
          <w:rFonts w:ascii="Times New Roman" w:eastAsia="TimesNRMTPro" w:hAnsi="Times New Roman"/>
          <w:szCs w:val="24"/>
          <w:lang w:val="en-GB"/>
        </w:rPr>
        <w:t>.</w:t>
      </w:r>
    </w:p>
    <w:p w:rsidR="00EF189A" w:rsidRPr="00CC5303" w:rsidRDefault="00EF189A" w:rsidP="00EF189A">
      <w:pPr>
        <w:spacing w:line="288" w:lineRule="auto"/>
        <w:rPr>
          <w:rFonts w:ascii="Times New Roman" w:eastAsia="TimesNRMTPro" w:hAnsi="Times New Roman"/>
          <w:caps/>
          <w:szCs w:val="24"/>
          <w:lang w:val="en-GB"/>
        </w:rPr>
      </w:pPr>
      <w:r>
        <w:rPr>
          <w:rFonts w:ascii="Times New Roman" w:eastAsia="TimesNRMTPro" w:hAnsi="Times New Roman"/>
          <w:szCs w:val="24"/>
          <w:lang w:val="en-GB"/>
        </w:rPr>
        <w:tab/>
        <w:t xml:space="preserve">It may be noted in passing that </w:t>
      </w:r>
      <w:r w:rsidR="00BA03C2">
        <w:rPr>
          <w:rFonts w:ascii="Times New Roman" w:eastAsia="TimesNRMTPro" w:hAnsi="Times New Roman"/>
          <w:szCs w:val="24"/>
          <w:lang w:val="en-GB"/>
        </w:rPr>
        <w:t>the Sharia</w:t>
      </w:r>
      <w:r w:rsidR="00CC5303">
        <w:rPr>
          <w:rFonts w:ascii="Times New Roman" w:eastAsia="TimesNRMTPro" w:hAnsi="Times New Roman"/>
          <w:szCs w:val="24"/>
          <w:lang w:val="en-GB"/>
        </w:rPr>
        <w:t xml:space="preserve"> Advisory Council of </w:t>
      </w:r>
      <w:r w:rsidR="00984C92">
        <w:rPr>
          <w:rFonts w:ascii="Times New Roman" w:eastAsia="TimesNRMTPro" w:hAnsi="Times New Roman"/>
          <w:szCs w:val="24"/>
          <w:lang w:val="en-GB"/>
        </w:rPr>
        <w:t>Bank Negara Malaysia, the Malaysian central bank,</w:t>
      </w:r>
      <w:r w:rsidR="00CC5303">
        <w:rPr>
          <w:rFonts w:ascii="Times New Roman" w:eastAsia="TimesNRMTPro" w:hAnsi="Times New Roman"/>
          <w:szCs w:val="24"/>
          <w:lang w:val="en-GB"/>
        </w:rPr>
        <w:t xml:space="preserve"> in 2002 resolved that a deposit insurance scheme for Islamic bank is permissible, even for mudaraba accounts. In 2005 the scheme got off the ground. Malaysia stands apart in applying </w:t>
      </w:r>
      <w:r w:rsidR="00CC5303" w:rsidRPr="00952A6C">
        <w:rPr>
          <w:rFonts w:ascii="Times New Roman" w:eastAsia="TimesNRMTPro" w:hAnsi="Times New Roman"/>
          <w:szCs w:val="24"/>
          <w:lang w:val="en-GB"/>
        </w:rPr>
        <w:t>maslaha</w:t>
      </w:r>
      <w:r w:rsidR="00280823">
        <w:rPr>
          <w:rFonts w:ascii="Times New Roman" w:eastAsia="TimesNRMTPro" w:hAnsi="Times New Roman"/>
          <w:szCs w:val="24"/>
          <w:lang w:val="en-GB"/>
        </w:rPr>
        <w:t>,</w:t>
      </w:r>
      <w:r w:rsidR="00CC5303" w:rsidRPr="00952A6C">
        <w:rPr>
          <w:rFonts w:ascii="Times New Roman" w:eastAsia="TimesNRMTPro" w:hAnsi="Times New Roman"/>
          <w:szCs w:val="24"/>
          <w:lang w:val="en-GB"/>
        </w:rPr>
        <w:t xml:space="preserve"> </w:t>
      </w:r>
      <w:r w:rsidR="00CC5303">
        <w:rPr>
          <w:rFonts w:ascii="Times New Roman" w:eastAsia="TimesNRMTPro" w:hAnsi="Times New Roman"/>
          <w:szCs w:val="24"/>
          <w:lang w:val="en-GB"/>
        </w:rPr>
        <w:t>or public interest</w:t>
      </w:r>
      <w:r w:rsidR="00280823">
        <w:rPr>
          <w:rFonts w:ascii="Times New Roman" w:eastAsia="TimesNRMTPro" w:hAnsi="Times New Roman"/>
          <w:szCs w:val="24"/>
          <w:lang w:val="en-GB"/>
        </w:rPr>
        <w:t>,</w:t>
      </w:r>
      <w:r w:rsidR="00CC5303">
        <w:rPr>
          <w:rFonts w:ascii="Times New Roman" w:eastAsia="TimesNRMTPro" w:hAnsi="Times New Roman"/>
          <w:szCs w:val="24"/>
          <w:lang w:val="en-GB"/>
        </w:rPr>
        <w:t xml:space="preserve"> in a </w:t>
      </w:r>
      <w:r w:rsidR="00952A6C">
        <w:rPr>
          <w:rFonts w:ascii="Times New Roman" w:eastAsia="TimesNRMTPro" w:hAnsi="Times New Roman"/>
          <w:szCs w:val="24"/>
          <w:lang w:val="en-GB"/>
        </w:rPr>
        <w:t>relativey</w:t>
      </w:r>
      <w:r w:rsidR="00CC5303">
        <w:rPr>
          <w:rFonts w:ascii="Times New Roman" w:eastAsia="TimesNRMTPro" w:hAnsi="Times New Roman"/>
          <w:szCs w:val="24"/>
          <w:lang w:val="en-GB"/>
        </w:rPr>
        <w:t xml:space="preserve"> liberal way in financial regulation, and the ground for this decision was </w:t>
      </w:r>
      <w:r w:rsidR="004B5C16">
        <w:rPr>
          <w:rFonts w:ascii="Times New Roman" w:eastAsia="TimesNRMTPro" w:hAnsi="Times New Roman"/>
          <w:szCs w:val="24"/>
          <w:lang w:val="en-GB"/>
        </w:rPr>
        <w:t>that</w:t>
      </w:r>
      <w:r w:rsidR="00CC5303">
        <w:rPr>
          <w:rFonts w:ascii="Times New Roman" w:eastAsia="TimesNRMTPro" w:hAnsi="Times New Roman"/>
          <w:szCs w:val="24"/>
          <w:lang w:val="en-GB"/>
        </w:rPr>
        <w:t xml:space="preserve"> without an insurance scheme Islamic banks would hardly be able to compete on equal terms</w:t>
      </w:r>
      <w:r w:rsidR="002900C7">
        <w:rPr>
          <w:rFonts w:ascii="Times New Roman" w:eastAsia="TimesNRMTPro" w:hAnsi="Times New Roman"/>
          <w:szCs w:val="24"/>
          <w:lang w:val="en-GB"/>
        </w:rPr>
        <w:t xml:space="preserve"> with conventional banks (Khairuddin</w:t>
      </w:r>
      <w:r w:rsidR="00952A6C">
        <w:rPr>
          <w:rFonts w:ascii="Times New Roman" w:eastAsia="TimesNRMTPro" w:hAnsi="Times New Roman"/>
          <w:szCs w:val="24"/>
          <w:lang w:val="en-GB"/>
        </w:rPr>
        <w:t>,</w:t>
      </w:r>
      <w:r w:rsidR="00CC5303">
        <w:rPr>
          <w:rFonts w:ascii="Times New Roman" w:eastAsia="TimesNRMTPro" w:hAnsi="Times New Roman"/>
          <w:szCs w:val="24"/>
          <w:lang w:val="en-GB"/>
        </w:rPr>
        <w:t xml:space="preserve"> 2011</w:t>
      </w:r>
      <w:r w:rsidR="00DA287F">
        <w:rPr>
          <w:rFonts w:ascii="Times New Roman" w:eastAsia="TimesNRMTPro" w:hAnsi="Times New Roman"/>
          <w:szCs w:val="24"/>
          <w:lang w:val="en-GB"/>
        </w:rPr>
        <w:t>). Gulf states find such wide applications of maslaha abhorrent.</w:t>
      </w:r>
      <w:r w:rsidR="00952A6C">
        <w:rPr>
          <w:rFonts w:ascii="Times New Roman" w:eastAsia="TimesNRMTPro" w:hAnsi="Times New Roman"/>
          <w:szCs w:val="24"/>
          <w:lang w:val="en-GB"/>
        </w:rPr>
        <w:t xml:space="preserve"> European regulators </w:t>
      </w:r>
      <w:r w:rsidR="00280823">
        <w:rPr>
          <w:rFonts w:ascii="Times New Roman" w:eastAsia="TimesNRMTPro" w:hAnsi="Times New Roman"/>
          <w:szCs w:val="24"/>
          <w:lang w:val="en-GB"/>
        </w:rPr>
        <w:t>can</w:t>
      </w:r>
      <w:r w:rsidR="00952A6C">
        <w:rPr>
          <w:rFonts w:ascii="Times New Roman" w:eastAsia="TimesNRMTPro" w:hAnsi="Times New Roman"/>
          <w:szCs w:val="24"/>
          <w:lang w:val="en-GB"/>
        </w:rPr>
        <w:t xml:space="preserve"> point to Malaysia if they do not want to follow the example of the UK Financial Services Authority.</w:t>
      </w:r>
    </w:p>
    <w:p w:rsidR="003D3608" w:rsidRDefault="00DA287F" w:rsidP="006D3DC8">
      <w:pPr>
        <w:spacing w:line="288" w:lineRule="auto"/>
        <w:rPr>
          <w:rFonts w:ascii="Times New Roman" w:eastAsia="TimesNRMTPro" w:hAnsi="Times New Roman"/>
          <w:szCs w:val="24"/>
          <w:lang w:val="en-GB"/>
        </w:rPr>
      </w:pPr>
      <w:r>
        <w:rPr>
          <w:rFonts w:ascii="Times New Roman" w:eastAsia="TimesNRMTPro" w:hAnsi="Times New Roman"/>
          <w:szCs w:val="24"/>
          <w:lang w:val="en-GB"/>
        </w:rPr>
        <w:tab/>
        <w:t>Another kind of accounts peculiar of Islamic banks is the</w:t>
      </w:r>
      <w:r w:rsidR="003D3608">
        <w:rPr>
          <w:rFonts w:ascii="Times New Roman" w:eastAsia="TimesNRMTPro" w:hAnsi="Times New Roman"/>
          <w:szCs w:val="24"/>
          <w:lang w:val="en-GB"/>
        </w:rPr>
        <w:t xml:space="preserve"> profit-sharing </w:t>
      </w:r>
      <w:r>
        <w:rPr>
          <w:rFonts w:ascii="Times New Roman" w:eastAsia="TimesNRMTPro" w:hAnsi="Times New Roman"/>
          <w:szCs w:val="24"/>
          <w:lang w:val="en-GB"/>
        </w:rPr>
        <w:t>investment account</w:t>
      </w:r>
      <w:r w:rsidR="003D3608">
        <w:rPr>
          <w:rFonts w:ascii="Times New Roman" w:eastAsia="TimesNRMTPro" w:hAnsi="Times New Roman"/>
          <w:szCs w:val="24"/>
          <w:lang w:val="en-GB"/>
        </w:rPr>
        <w:t xml:space="preserve"> (PSIA)</w:t>
      </w:r>
      <w:r w:rsidR="003E2C67">
        <w:rPr>
          <w:rFonts w:ascii="Times New Roman" w:eastAsia="TimesNRMTPro" w:hAnsi="Times New Roman"/>
          <w:szCs w:val="24"/>
          <w:lang w:val="en-GB"/>
        </w:rPr>
        <w:t>,</w:t>
      </w:r>
      <w:bookmarkStart w:id="0" w:name="_Hlk499817951"/>
      <w:r w:rsidR="003E2C67">
        <w:rPr>
          <w:rFonts w:ascii="Times New Roman" w:eastAsia="TimesNRMTPro" w:hAnsi="Times New Roman"/>
          <w:szCs w:val="24"/>
          <w:lang w:val="en-GB"/>
        </w:rPr>
        <w:t xml:space="preserve"> structured as a mudaraba, a musharaka or a wakala (agency)</w:t>
      </w:r>
      <w:bookmarkEnd w:id="0"/>
      <w:r>
        <w:rPr>
          <w:rFonts w:ascii="Times New Roman" w:eastAsia="TimesNRMTPro" w:hAnsi="Times New Roman"/>
          <w:szCs w:val="24"/>
          <w:lang w:val="en-GB"/>
        </w:rPr>
        <w:t>. There are two vari</w:t>
      </w:r>
      <w:r w:rsidR="002E0B4F">
        <w:rPr>
          <w:rFonts w:ascii="Times New Roman" w:eastAsia="TimesNRMTPro" w:hAnsi="Times New Roman"/>
          <w:szCs w:val="24"/>
          <w:lang w:val="en-GB"/>
        </w:rPr>
        <w:t>e</w:t>
      </w:r>
      <w:r>
        <w:rPr>
          <w:rFonts w:ascii="Times New Roman" w:eastAsia="TimesNRMTPro" w:hAnsi="Times New Roman"/>
          <w:szCs w:val="24"/>
          <w:lang w:val="en-GB"/>
        </w:rPr>
        <w:t xml:space="preserve">ties, </w:t>
      </w:r>
      <w:r w:rsidR="002E0B4F">
        <w:rPr>
          <w:rFonts w:ascii="Times New Roman" w:eastAsia="TimesNRMTPro" w:hAnsi="Times New Roman"/>
          <w:szCs w:val="24"/>
          <w:lang w:val="en-GB"/>
        </w:rPr>
        <w:t>unrestricted investment accounts and restricted investment accounts, offered for fixed periods. Unrestricted investment</w:t>
      </w:r>
      <w:r w:rsidR="00952A6C">
        <w:rPr>
          <w:rFonts w:ascii="Times New Roman" w:eastAsia="TimesNRMTPro" w:hAnsi="Times New Roman"/>
          <w:szCs w:val="24"/>
          <w:lang w:val="en-GB"/>
        </w:rPr>
        <w:t>,</w:t>
      </w:r>
      <w:r w:rsidR="002E0B4F">
        <w:rPr>
          <w:rFonts w:ascii="Times New Roman" w:eastAsia="TimesNRMTPro" w:hAnsi="Times New Roman"/>
          <w:szCs w:val="24"/>
          <w:lang w:val="en-GB"/>
        </w:rPr>
        <w:t xml:space="preserve"> or </w:t>
      </w:r>
      <w:r w:rsidR="002E0B4F" w:rsidRPr="002040D9">
        <w:rPr>
          <w:rFonts w:ascii="Times New Roman" w:eastAsia="TimesNRMTPro" w:hAnsi="Times New Roman"/>
          <w:i/>
          <w:iCs/>
          <w:szCs w:val="24"/>
          <w:lang w:val="en-GB"/>
        </w:rPr>
        <w:t>mudaraba mutlaqa</w:t>
      </w:r>
      <w:r w:rsidR="00952A6C">
        <w:rPr>
          <w:rFonts w:ascii="Times New Roman" w:eastAsia="TimesNRMTPro" w:hAnsi="Times New Roman"/>
          <w:szCs w:val="24"/>
          <w:lang w:val="en-GB"/>
        </w:rPr>
        <w:t>,</w:t>
      </w:r>
      <w:r w:rsidR="002E0B4F">
        <w:rPr>
          <w:rFonts w:ascii="Times New Roman" w:eastAsia="TimesNRMTPro" w:hAnsi="Times New Roman"/>
          <w:i/>
          <w:szCs w:val="24"/>
          <w:lang w:val="en-GB"/>
        </w:rPr>
        <w:t xml:space="preserve"> </w:t>
      </w:r>
      <w:r w:rsidR="002E0B4F">
        <w:rPr>
          <w:rFonts w:ascii="Times New Roman" w:eastAsia="TimesNRMTPro" w:hAnsi="Times New Roman"/>
          <w:szCs w:val="24"/>
          <w:lang w:val="en-GB"/>
        </w:rPr>
        <w:t>accounts leave the bank a free hand as to the investments it makes with th</w:t>
      </w:r>
      <w:r w:rsidR="00701F3B">
        <w:rPr>
          <w:rFonts w:ascii="Times New Roman" w:eastAsia="TimesNRMTPro" w:hAnsi="Times New Roman"/>
          <w:szCs w:val="24"/>
          <w:lang w:val="en-GB"/>
        </w:rPr>
        <w:t>e</w:t>
      </w:r>
      <w:r w:rsidR="00280823">
        <w:rPr>
          <w:rFonts w:ascii="Times New Roman" w:eastAsia="TimesNRMTPro" w:hAnsi="Times New Roman"/>
          <w:szCs w:val="24"/>
          <w:lang w:val="en-GB"/>
        </w:rPr>
        <w:t xml:space="preserve"> available funds; </w:t>
      </w:r>
      <w:r w:rsidR="002E0B4F">
        <w:rPr>
          <w:rFonts w:ascii="Times New Roman" w:eastAsia="TimesNRMTPro" w:hAnsi="Times New Roman"/>
          <w:szCs w:val="24"/>
          <w:lang w:val="en-GB"/>
        </w:rPr>
        <w:t xml:space="preserve"> restricted investment accounts</w:t>
      </w:r>
      <w:r w:rsidR="00952A6C">
        <w:rPr>
          <w:rFonts w:ascii="Times New Roman" w:eastAsia="TimesNRMTPro" w:hAnsi="Times New Roman"/>
          <w:szCs w:val="24"/>
          <w:lang w:val="en-GB"/>
        </w:rPr>
        <w:t>,</w:t>
      </w:r>
      <w:r w:rsidR="002E0B4F">
        <w:rPr>
          <w:rFonts w:ascii="Times New Roman" w:eastAsia="TimesNRMTPro" w:hAnsi="Times New Roman"/>
          <w:szCs w:val="24"/>
          <w:lang w:val="en-GB"/>
        </w:rPr>
        <w:t xml:space="preserve"> or </w:t>
      </w:r>
      <w:r w:rsidR="002E0B4F" w:rsidRPr="002040D9">
        <w:rPr>
          <w:rFonts w:ascii="Times New Roman" w:eastAsia="TimesNRMTPro" w:hAnsi="Times New Roman"/>
          <w:i/>
          <w:iCs/>
          <w:szCs w:val="24"/>
          <w:lang w:val="en-GB"/>
        </w:rPr>
        <w:t>m</w:t>
      </w:r>
      <w:r w:rsidR="00952A6C" w:rsidRPr="002040D9">
        <w:rPr>
          <w:rFonts w:ascii="Times New Roman" w:eastAsia="TimesNRMTPro" w:hAnsi="Times New Roman"/>
          <w:i/>
          <w:iCs/>
          <w:szCs w:val="24"/>
          <w:lang w:val="en-GB"/>
        </w:rPr>
        <w:t>udaraba</w:t>
      </w:r>
      <w:r w:rsidR="002E0B4F" w:rsidRPr="002040D9">
        <w:rPr>
          <w:rFonts w:ascii="Times New Roman" w:eastAsia="TimesNRMTPro" w:hAnsi="Times New Roman"/>
          <w:i/>
          <w:iCs/>
          <w:szCs w:val="24"/>
          <w:lang w:val="en-GB"/>
        </w:rPr>
        <w:t xml:space="preserve"> muqayyada</w:t>
      </w:r>
      <w:r w:rsidR="002E0B4F">
        <w:rPr>
          <w:rFonts w:ascii="Times New Roman" w:eastAsia="TimesNRMTPro" w:hAnsi="Times New Roman"/>
          <w:szCs w:val="24"/>
          <w:lang w:val="en-GB"/>
        </w:rPr>
        <w:t xml:space="preserve"> accounts</w:t>
      </w:r>
      <w:r w:rsidR="00952A6C">
        <w:rPr>
          <w:rFonts w:ascii="Times New Roman" w:eastAsia="TimesNRMTPro" w:hAnsi="Times New Roman"/>
          <w:szCs w:val="24"/>
          <w:lang w:val="en-GB"/>
        </w:rPr>
        <w:t>,</w:t>
      </w:r>
      <w:r w:rsidR="002E0B4F">
        <w:rPr>
          <w:rFonts w:ascii="Times New Roman" w:eastAsia="TimesNRMTPro" w:hAnsi="Times New Roman"/>
          <w:szCs w:val="24"/>
          <w:lang w:val="en-GB"/>
        </w:rPr>
        <w:t xml:space="preserve"> restrict the portfolio that the bank can invest in. The latter, in other words, define the subset of investments whose yields, that may be negative, are shared with the deposit holder.</w:t>
      </w:r>
      <w:r w:rsidR="00701F3B">
        <w:rPr>
          <w:rFonts w:ascii="Times New Roman" w:eastAsia="TimesNRMTPro" w:hAnsi="Times New Roman"/>
          <w:szCs w:val="24"/>
          <w:lang w:val="en-GB"/>
        </w:rPr>
        <w:t xml:space="preserve">). The bank in this case is deemed to act as an agent for the depositor, or investor, and should not run any risk itself (unless it is found guilty of fraud or culpable negiglence). </w:t>
      </w:r>
      <w:r w:rsidR="003E2C67">
        <w:rPr>
          <w:rFonts w:ascii="Times New Roman" w:eastAsia="TimesNRMTPro" w:hAnsi="Times New Roman"/>
          <w:szCs w:val="24"/>
          <w:lang w:val="en-GB"/>
        </w:rPr>
        <w:t>AAOIFI recognizes neither restricted nor unresrtricted investment accounts as liabil</w:t>
      </w:r>
      <w:r w:rsidR="007968B6">
        <w:rPr>
          <w:rFonts w:ascii="Times New Roman" w:eastAsia="TimesNRMTPro" w:hAnsi="Times New Roman"/>
          <w:szCs w:val="24"/>
          <w:lang w:val="en-GB"/>
        </w:rPr>
        <w:t>ities of the bank (AOSSG, 2015), but in practice</w:t>
      </w:r>
      <w:r w:rsidR="006D3DC8">
        <w:rPr>
          <w:rFonts w:ascii="Times New Roman" w:eastAsia="TimesNRMTPro" w:hAnsi="Times New Roman"/>
          <w:szCs w:val="24"/>
          <w:lang w:val="en-GB"/>
        </w:rPr>
        <w:t xml:space="preserve"> both banks and clients may see little difference between</w:t>
      </w:r>
      <w:r w:rsidR="007968B6">
        <w:rPr>
          <w:rFonts w:ascii="Times New Roman" w:eastAsia="TimesNRMTPro" w:hAnsi="Times New Roman"/>
          <w:szCs w:val="24"/>
          <w:lang w:val="en-GB"/>
        </w:rPr>
        <w:t xml:space="preserve"> unrestricted accounts</w:t>
      </w:r>
      <w:r w:rsidR="006D3DC8">
        <w:rPr>
          <w:rFonts w:ascii="Times New Roman" w:eastAsia="TimesNRMTPro" w:hAnsi="Times New Roman"/>
          <w:szCs w:val="24"/>
          <w:lang w:val="en-GB"/>
        </w:rPr>
        <w:t xml:space="preserve"> and </w:t>
      </w:r>
      <w:r w:rsidR="007968B6">
        <w:rPr>
          <w:rFonts w:ascii="Times New Roman" w:eastAsia="TimesNRMTPro" w:hAnsi="Times New Roman"/>
          <w:szCs w:val="24"/>
          <w:lang w:val="en-GB"/>
        </w:rPr>
        <w:t>savings deposits.</w:t>
      </w:r>
      <w:r w:rsidR="00ED4651">
        <w:rPr>
          <w:rFonts w:ascii="Times New Roman" w:eastAsia="TimesNRMTPro" w:hAnsi="Times New Roman"/>
          <w:szCs w:val="24"/>
          <w:lang w:val="en-GB"/>
        </w:rPr>
        <w:t xml:space="preserve"> That could be an argument</w:t>
      </w:r>
      <w:r w:rsidR="006D3DC8">
        <w:rPr>
          <w:rFonts w:ascii="Times New Roman" w:eastAsia="TimesNRMTPro" w:hAnsi="Times New Roman"/>
          <w:szCs w:val="24"/>
          <w:lang w:val="en-GB"/>
        </w:rPr>
        <w:t xml:space="preserve"> for granting</w:t>
      </w:r>
      <w:r w:rsidR="003E2C67">
        <w:rPr>
          <w:rFonts w:ascii="Times New Roman" w:eastAsia="TimesNRMTPro" w:hAnsi="Times New Roman"/>
          <w:szCs w:val="24"/>
          <w:lang w:val="en-GB"/>
        </w:rPr>
        <w:t xml:space="preserve"> </w:t>
      </w:r>
      <w:r w:rsidR="006D3DC8">
        <w:rPr>
          <w:rFonts w:ascii="Times New Roman" w:eastAsia="TimesNRMTPro" w:hAnsi="Times New Roman"/>
          <w:szCs w:val="24"/>
          <w:lang w:val="en-GB"/>
        </w:rPr>
        <w:t>h</w:t>
      </w:r>
      <w:r w:rsidR="007968B6">
        <w:rPr>
          <w:rFonts w:ascii="Times New Roman" w:eastAsia="TimesNRMTPro" w:hAnsi="Times New Roman"/>
          <w:szCs w:val="24"/>
          <w:lang w:val="en-GB"/>
        </w:rPr>
        <w:t xml:space="preserve">olders of </w:t>
      </w:r>
      <w:r w:rsidR="006D3DC8">
        <w:rPr>
          <w:rFonts w:ascii="Times New Roman" w:eastAsia="TimesNRMTPro" w:hAnsi="Times New Roman"/>
          <w:szCs w:val="24"/>
          <w:lang w:val="en-GB"/>
        </w:rPr>
        <w:t xml:space="preserve"> restricted </w:t>
      </w:r>
      <w:r w:rsidR="007968B6">
        <w:rPr>
          <w:rFonts w:ascii="Times New Roman" w:eastAsia="TimesNRMTPro" w:hAnsi="Times New Roman"/>
          <w:szCs w:val="24"/>
          <w:lang w:val="en-GB"/>
        </w:rPr>
        <w:t xml:space="preserve">investment accounts recourse to the assets financed by their deposits in case of default of the bank, </w:t>
      </w:r>
      <w:r w:rsidR="006D3DC8">
        <w:rPr>
          <w:rFonts w:ascii="Times New Roman" w:eastAsia="TimesNRMTPro" w:hAnsi="Times New Roman"/>
          <w:szCs w:val="24"/>
          <w:lang w:val="en-GB"/>
        </w:rPr>
        <w:t>but not holders of un</w:t>
      </w:r>
      <w:r w:rsidR="007968B6">
        <w:rPr>
          <w:rFonts w:ascii="Times New Roman" w:eastAsia="TimesNRMTPro" w:hAnsi="Times New Roman"/>
          <w:szCs w:val="24"/>
          <w:lang w:val="en-GB"/>
        </w:rPr>
        <w:t xml:space="preserve">restricted investment accounts. </w:t>
      </w:r>
      <w:r w:rsidR="006D3DC8">
        <w:rPr>
          <w:rFonts w:ascii="Times New Roman" w:eastAsia="TimesNRMTPro" w:hAnsi="Times New Roman"/>
          <w:szCs w:val="24"/>
          <w:lang w:val="en-GB"/>
        </w:rPr>
        <w:t xml:space="preserve">In line with this way of thinking, </w:t>
      </w:r>
      <w:r w:rsidR="003D3608">
        <w:rPr>
          <w:rFonts w:ascii="Times New Roman" w:eastAsia="TimesNRMTPro" w:hAnsi="Times New Roman"/>
          <w:szCs w:val="24"/>
          <w:lang w:val="en-GB"/>
        </w:rPr>
        <w:t>there are jurisdictions</w:t>
      </w:r>
      <w:r w:rsidR="00CE2805">
        <w:rPr>
          <w:rFonts w:ascii="Times New Roman" w:eastAsia="TimesNRMTPro" w:hAnsi="Times New Roman"/>
          <w:szCs w:val="24"/>
          <w:lang w:val="en-GB"/>
        </w:rPr>
        <w:t xml:space="preserve">, </w:t>
      </w:r>
      <w:r w:rsidR="00280823">
        <w:rPr>
          <w:rFonts w:ascii="Times New Roman" w:eastAsia="TimesNRMTPro" w:hAnsi="Times New Roman"/>
          <w:szCs w:val="24"/>
          <w:lang w:val="en-GB"/>
        </w:rPr>
        <w:t xml:space="preserve">not only Malaysia but also </w:t>
      </w:r>
      <w:r w:rsidR="00CE2805">
        <w:rPr>
          <w:rFonts w:ascii="Times New Roman" w:eastAsia="TimesNRMTPro" w:hAnsi="Times New Roman"/>
          <w:szCs w:val="24"/>
          <w:lang w:val="en-GB"/>
        </w:rPr>
        <w:t>for example Turkey,</w:t>
      </w:r>
      <w:r w:rsidR="003D3608">
        <w:rPr>
          <w:rFonts w:ascii="Times New Roman" w:eastAsia="TimesNRMTPro" w:hAnsi="Times New Roman"/>
          <w:szCs w:val="24"/>
          <w:lang w:val="en-GB"/>
        </w:rPr>
        <w:t xml:space="preserve"> </w:t>
      </w:r>
      <w:r w:rsidR="00D20932">
        <w:rPr>
          <w:rFonts w:ascii="Times New Roman" w:eastAsia="TimesNRMTPro" w:hAnsi="Times New Roman"/>
          <w:szCs w:val="24"/>
          <w:lang w:val="en-GB"/>
        </w:rPr>
        <w:t>that provide deposit insurance for unrestriced investment account holders, in the interest of financial stability</w:t>
      </w:r>
      <w:r w:rsidR="00085BB2">
        <w:rPr>
          <w:rFonts w:ascii="Times New Roman" w:eastAsia="TimesNRMTPro" w:hAnsi="Times New Roman"/>
          <w:szCs w:val="24"/>
          <w:lang w:val="en-GB"/>
        </w:rPr>
        <w:t>, that is, using the argument of maslaha</w:t>
      </w:r>
      <w:r w:rsidR="00D20932">
        <w:rPr>
          <w:rFonts w:ascii="Times New Roman" w:eastAsia="TimesNRMTPro" w:hAnsi="Times New Roman"/>
          <w:szCs w:val="24"/>
          <w:lang w:val="en-GB"/>
        </w:rPr>
        <w:t xml:space="preserve"> (</w:t>
      </w:r>
      <w:r w:rsidR="003D3608" w:rsidRPr="002A1F05">
        <w:rPr>
          <w:rFonts w:ascii="Times New Roman" w:eastAsia="TimesNRMTPro" w:hAnsi="Times New Roman"/>
          <w:szCs w:val="24"/>
          <w:lang w:val="en-GB"/>
        </w:rPr>
        <w:t>Addo Awadzi</w:t>
      </w:r>
      <w:r w:rsidR="003D3608">
        <w:rPr>
          <w:rFonts w:ascii="Times New Roman" w:eastAsia="TimesNRMTPro" w:hAnsi="Times New Roman"/>
          <w:szCs w:val="24"/>
          <w:lang w:val="en-GB"/>
        </w:rPr>
        <w:t xml:space="preserve"> et al.</w:t>
      </w:r>
      <w:r w:rsidR="00085BB2">
        <w:rPr>
          <w:rFonts w:ascii="Times New Roman" w:eastAsia="TimesNRMTPro" w:hAnsi="Times New Roman"/>
          <w:szCs w:val="24"/>
          <w:lang w:val="en-GB"/>
        </w:rPr>
        <w:t>,</w:t>
      </w:r>
      <w:r w:rsidR="003D3608">
        <w:rPr>
          <w:rFonts w:ascii="Times New Roman" w:eastAsia="TimesNRMTPro" w:hAnsi="Times New Roman"/>
          <w:szCs w:val="24"/>
          <w:lang w:val="en-GB"/>
        </w:rPr>
        <w:t xml:space="preserve"> 2015 p. 24</w:t>
      </w:r>
      <w:r w:rsidR="00D20932">
        <w:rPr>
          <w:rFonts w:ascii="Times New Roman" w:eastAsia="TimesNRMTPro" w:hAnsi="Times New Roman"/>
          <w:szCs w:val="24"/>
          <w:lang w:val="en-GB"/>
        </w:rPr>
        <w:t xml:space="preserve">). This </w:t>
      </w:r>
      <w:r w:rsidR="00280823">
        <w:rPr>
          <w:rFonts w:ascii="Times New Roman" w:eastAsia="TimesNRMTPro" w:hAnsi="Times New Roman"/>
          <w:szCs w:val="24"/>
          <w:lang w:val="en-GB"/>
        </w:rPr>
        <w:t xml:space="preserve">will </w:t>
      </w:r>
      <w:r w:rsidR="00D20932">
        <w:rPr>
          <w:rFonts w:ascii="Times New Roman" w:eastAsia="TimesNRMTPro" w:hAnsi="Times New Roman"/>
          <w:szCs w:val="24"/>
          <w:lang w:val="en-GB"/>
        </w:rPr>
        <w:t xml:space="preserve">be </w:t>
      </w:r>
      <w:r w:rsidR="00280823">
        <w:rPr>
          <w:rFonts w:ascii="Times New Roman" w:eastAsia="TimesNRMTPro" w:hAnsi="Times New Roman"/>
          <w:szCs w:val="24"/>
          <w:lang w:val="en-GB"/>
        </w:rPr>
        <w:t xml:space="preserve">especially </w:t>
      </w:r>
      <w:r w:rsidR="00D20932">
        <w:rPr>
          <w:rFonts w:ascii="Times New Roman" w:eastAsia="TimesNRMTPro" w:hAnsi="Times New Roman"/>
          <w:szCs w:val="24"/>
          <w:lang w:val="en-GB"/>
        </w:rPr>
        <w:t>relevant in cases where banks fe</w:t>
      </w:r>
      <w:r w:rsidR="004353B6">
        <w:rPr>
          <w:rFonts w:ascii="Times New Roman" w:eastAsia="TimesNRMTPro" w:hAnsi="Times New Roman"/>
          <w:szCs w:val="24"/>
          <w:lang w:val="en-GB"/>
        </w:rPr>
        <w:t>el obliged to provide account holders with a return that is comparable with the interest on conventional time deposits, lest they run away after the expiry of the investment contract and cause a liquidity shortage.</w:t>
      </w:r>
      <w:r w:rsidR="006D3DC8">
        <w:rPr>
          <w:rFonts w:ascii="Times New Roman" w:eastAsia="TimesNRMTPro" w:hAnsi="Times New Roman"/>
          <w:szCs w:val="24"/>
          <w:lang w:val="en-GB"/>
        </w:rPr>
        <w:t xml:space="preserve"> Such accounts have in fact lost their mudaraba character. </w:t>
      </w:r>
      <w:r w:rsidR="004353B6">
        <w:rPr>
          <w:rFonts w:ascii="Times New Roman" w:eastAsia="TimesNRMTPro" w:hAnsi="Times New Roman"/>
          <w:szCs w:val="24"/>
          <w:lang w:val="en-GB"/>
        </w:rPr>
        <w:t>National regulators will have to decide whether or not to provide deposit insurance to unrestri</w:t>
      </w:r>
      <w:r w:rsidR="00280823">
        <w:rPr>
          <w:rFonts w:ascii="Times New Roman" w:eastAsia="TimesNRMTPro" w:hAnsi="Times New Roman"/>
          <w:szCs w:val="24"/>
          <w:lang w:val="en-GB"/>
        </w:rPr>
        <w:t>cted investment account holders only</w:t>
      </w:r>
      <w:r w:rsidR="004353B6">
        <w:rPr>
          <w:rFonts w:ascii="Times New Roman" w:eastAsia="TimesNRMTPro" w:hAnsi="Times New Roman"/>
          <w:szCs w:val="24"/>
          <w:lang w:val="en-GB"/>
        </w:rPr>
        <w:t xml:space="preserve"> or to all </w:t>
      </w:r>
      <w:r w:rsidR="006D3DC8">
        <w:rPr>
          <w:rFonts w:ascii="Times New Roman" w:eastAsia="TimesNRMTPro" w:hAnsi="Times New Roman"/>
          <w:szCs w:val="24"/>
          <w:lang w:val="en-GB"/>
        </w:rPr>
        <w:t xml:space="preserve">investment account </w:t>
      </w:r>
      <w:r w:rsidR="004353B6">
        <w:rPr>
          <w:rFonts w:ascii="Times New Roman" w:eastAsia="TimesNRMTPro" w:hAnsi="Times New Roman"/>
          <w:szCs w:val="24"/>
          <w:lang w:val="en-GB"/>
        </w:rPr>
        <w:t>holders</w:t>
      </w:r>
      <w:r w:rsidR="006D3DC8">
        <w:rPr>
          <w:rFonts w:ascii="Times New Roman" w:eastAsia="TimesNRMTPro" w:hAnsi="Times New Roman"/>
          <w:szCs w:val="24"/>
          <w:lang w:val="en-GB"/>
        </w:rPr>
        <w:t>, plus mudaraba savings account holders</w:t>
      </w:r>
      <w:r w:rsidR="004353B6">
        <w:rPr>
          <w:rFonts w:ascii="Times New Roman" w:eastAsia="TimesNRMTPro" w:hAnsi="Times New Roman"/>
          <w:szCs w:val="24"/>
          <w:lang w:val="en-GB"/>
        </w:rPr>
        <w:t xml:space="preserve">. </w:t>
      </w:r>
      <w:r w:rsidR="005B04A1">
        <w:rPr>
          <w:rFonts w:ascii="Times New Roman" w:eastAsia="TimesNRMTPro" w:hAnsi="Times New Roman"/>
          <w:szCs w:val="24"/>
          <w:lang w:val="en-GB"/>
        </w:rPr>
        <w:t>They should bear in mind that the practice of Islamic banking does not always conform to the ideal</w:t>
      </w:r>
      <w:r w:rsidR="003E2C67">
        <w:rPr>
          <w:rFonts w:ascii="Times New Roman" w:eastAsia="TimesNRMTPro" w:hAnsi="Times New Roman"/>
          <w:szCs w:val="24"/>
          <w:lang w:val="en-GB"/>
        </w:rPr>
        <w:t>. A survey by the</w:t>
      </w:r>
      <w:r w:rsidR="00235180" w:rsidRPr="00235180">
        <w:rPr>
          <w:rFonts w:ascii="Times New Roman" w:hAnsi="Times New Roman"/>
          <w:noProof w:val="0"/>
          <w:lang w:val="en-GB"/>
        </w:rPr>
        <w:t xml:space="preserve"> </w:t>
      </w:r>
      <w:r w:rsidR="00235180">
        <w:rPr>
          <w:rFonts w:ascii="Times New Roman" w:hAnsi="Times New Roman"/>
          <w:noProof w:val="0"/>
          <w:lang w:val="en-GB"/>
        </w:rPr>
        <w:t>Asian-Oceanian Standard-Setters Group</w:t>
      </w:r>
      <w:r w:rsidR="00085BB2">
        <w:rPr>
          <w:rFonts w:ascii="Times New Roman" w:hAnsi="Times New Roman"/>
          <w:noProof w:val="0"/>
          <w:lang w:val="en-GB"/>
        </w:rPr>
        <w:t xml:space="preserve"> (AOSSG)</w:t>
      </w:r>
      <w:r w:rsidR="00235180">
        <w:rPr>
          <w:rFonts w:ascii="Times New Roman" w:hAnsi="Times New Roman"/>
          <w:noProof w:val="0"/>
          <w:lang w:val="en-GB"/>
        </w:rPr>
        <w:t xml:space="preserve"> found that</w:t>
      </w:r>
      <w:r w:rsidR="003E2C67">
        <w:rPr>
          <w:rFonts w:ascii="Times New Roman" w:eastAsia="TimesNRMTPro" w:hAnsi="Times New Roman"/>
          <w:szCs w:val="24"/>
          <w:lang w:val="en-GB"/>
        </w:rPr>
        <w:t xml:space="preserve"> </w:t>
      </w:r>
      <w:r w:rsidR="00085BB2">
        <w:rPr>
          <w:rFonts w:ascii="Times New Roman" w:eastAsia="TimesNRMTPro" w:hAnsi="Times New Roman"/>
          <w:szCs w:val="24"/>
          <w:lang w:val="en-GB"/>
        </w:rPr>
        <w:t>many banks do not distinguish</w:t>
      </w:r>
      <w:r w:rsidR="005B04A1">
        <w:rPr>
          <w:rFonts w:ascii="Times New Roman" w:eastAsia="TimesNRMTPro" w:hAnsi="Times New Roman"/>
          <w:szCs w:val="24"/>
          <w:lang w:val="en-GB"/>
        </w:rPr>
        <w:t xml:space="preserve"> between unrest</w:t>
      </w:r>
      <w:r w:rsidR="00235180">
        <w:rPr>
          <w:rFonts w:ascii="Times New Roman" w:eastAsia="TimesNRMTPro" w:hAnsi="Times New Roman"/>
          <w:szCs w:val="24"/>
          <w:lang w:val="en-GB"/>
        </w:rPr>
        <w:t xml:space="preserve">ricted and restricted accounts nor </w:t>
      </w:r>
      <w:r w:rsidR="005B04A1">
        <w:rPr>
          <w:rFonts w:ascii="Times New Roman" w:eastAsia="TimesNRMTPro" w:hAnsi="Times New Roman"/>
          <w:szCs w:val="24"/>
          <w:lang w:val="en-GB"/>
        </w:rPr>
        <w:t>between deposits that are pure liabilities and investment accounts</w:t>
      </w:r>
      <w:r w:rsidR="00235180">
        <w:rPr>
          <w:rFonts w:ascii="Times New Roman" w:eastAsia="TimesNRMTPro" w:hAnsi="Times New Roman"/>
          <w:szCs w:val="24"/>
          <w:lang w:val="en-GB"/>
        </w:rPr>
        <w:t xml:space="preserve"> (AOSSG, 2015).</w:t>
      </w:r>
      <w:r w:rsidR="005B04A1">
        <w:rPr>
          <w:rFonts w:ascii="Times New Roman" w:eastAsia="TimesNRMTPro" w:hAnsi="Times New Roman"/>
          <w:szCs w:val="24"/>
          <w:lang w:val="en-GB"/>
        </w:rPr>
        <w:t xml:space="preserve"> This would provide an argument for supervisors to</w:t>
      </w:r>
      <w:r w:rsidR="007968B6">
        <w:rPr>
          <w:rFonts w:ascii="Times New Roman" w:eastAsia="TimesNRMTPro" w:hAnsi="Times New Roman"/>
          <w:szCs w:val="24"/>
          <w:lang w:val="en-GB"/>
        </w:rPr>
        <w:t xml:space="preserve"> deny all such </w:t>
      </w:r>
      <w:r w:rsidR="003E4F31">
        <w:rPr>
          <w:rFonts w:ascii="Times New Roman" w:eastAsia="TimesNRMTPro" w:hAnsi="Times New Roman"/>
          <w:szCs w:val="24"/>
          <w:lang w:val="en-GB"/>
        </w:rPr>
        <w:t>acounts any prior ranking and instead</w:t>
      </w:r>
      <w:r w:rsidR="005B04A1">
        <w:rPr>
          <w:rFonts w:ascii="Times New Roman" w:eastAsia="TimesNRMTPro" w:hAnsi="Times New Roman"/>
          <w:szCs w:val="24"/>
          <w:lang w:val="en-GB"/>
        </w:rPr>
        <w:t xml:space="preserve">  impose deposit insurance, </w:t>
      </w:r>
      <w:r w:rsidR="00BF15A9">
        <w:rPr>
          <w:rFonts w:ascii="Times New Roman" w:eastAsia="TimesNRMTPro" w:hAnsi="Times New Roman"/>
          <w:szCs w:val="24"/>
          <w:lang w:val="en-GB"/>
        </w:rPr>
        <w:t>with the client having the right to renounce payment in case of default.</w:t>
      </w:r>
    </w:p>
    <w:p w:rsidR="004353B6" w:rsidRDefault="004353B6" w:rsidP="00632369">
      <w:pPr>
        <w:spacing w:line="288" w:lineRule="auto"/>
        <w:rPr>
          <w:rFonts w:ascii="Times New Roman" w:eastAsia="TimesNRMTPro" w:hAnsi="Times New Roman"/>
          <w:szCs w:val="24"/>
          <w:lang w:val="en-GB"/>
        </w:rPr>
      </w:pPr>
    </w:p>
    <w:p w:rsidR="00622FC4" w:rsidRPr="00984C92" w:rsidRDefault="00984C92" w:rsidP="00622FC4">
      <w:pPr>
        <w:spacing w:line="288" w:lineRule="auto"/>
        <w:rPr>
          <w:rFonts w:ascii="Times New Roman" w:eastAsia="TimesNRMTPro" w:hAnsi="Times New Roman"/>
          <w:b/>
          <w:szCs w:val="24"/>
          <w:lang w:val="en-GB"/>
        </w:rPr>
      </w:pPr>
      <w:r w:rsidRPr="00984C92">
        <w:rPr>
          <w:rFonts w:ascii="Times New Roman" w:eastAsia="TimesNRMTPro" w:hAnsi="Times New Roman"/>
          <w:b/>
          <w:szCs w:val="24"/>
          <w:lang w:val="en-GB"/>
        </w:rPr>
        <w:t>6.</w:t>
      </w:r>
      <w:r w:rsidR="008D7DA0" w:rsidRPr="00984C92">
        <w:rPr>
          <w:rFonts w:ascii="Times New Roman" w:eastAsia="TimesNRMTPro" w:hAnsi="Times New Roman"/>
          <w:b/>
          <w:szCs w:val="24"/>
          <w:lang w:val="en-GB"/>
        </w:rPr>
        <w:t>Basel III solvency requirements</w:t>
      </w:r>
    </w:p>
    <w:p w:rsidR="00622FC4" w:rsidRDefault="00622FC4" w:rsidP="00622FC4">
      <w:pPr>
        <w:spacing w:line="288" w:lineRule="auto"/>
        <w:rPr>
          <w:rFonts w:ascii="Times New Roman" w:eastAsia="TimesNRMTPro" w:hAnsi="Times New Roman"/>
          <w:szCs w:val="24"/>
          <w:lang w:val="en-GB"/>
        </w:rPr>
      </w:pPr>
      <w:r>
        <w:rPr>
          <w:rFonts w:ascii="Times New Roman" w:eastAsia="TimesNRMTPro" w:hAnsi="Times New Roman"/>
          <w:szCs w:val="24"/>
          <w:lang w:val="en-GB"/>
        </w:rPr>
        <w:t xml:space="preserve">Another task for banking </w:t>
      </w:r>
      <w:r w:rsidR="00362FF3">
        <w:rPr>
          <w:rFonts w:ascii="Times New Roman" w:eastAsia="TimesNRMTPro" w:hAnsi="Times New Roman"/>
          <w:szCs w:val="24"/>
          <w:lang w:val="en-GB"/>
        </w:rPr>
        <w:t xml:space="preserve">regulators and </w:t>
      </w:r>
      <w:r>
        <w:rPr>
          <w:rFonts w:ascii="Times New Roman" w:eastAsia="TimesNRMTPro" w:hAnsi="Times New Roman"/>
          <w:szCs w:val="24"/>
          <w:lang w:val="en-GB"/>
        </w:rPr>
        <w:t xml:space="preserve">supervisors is to decide how to treat Islamic banks with respect to the Basel III solvency requirements, as some of the Islamic banks’ liabilities </w:t>
      </w:r>
      <w:bookmarkStart w:id="1" w:name="_GoBack"/>
      <w:bookmarkEnd w:id="1"/>
      <w:r>
        <w:rPr>
          <w:rFonts w:ascii="Times New Roman" w:eastAsia="TimesNRMTPro" w:hAnsi="Times New Roman"/>
          <w:szCs w:val="24"/>
          <w:lang w:val="en-GB"/>
        </w:rPr>
        <w:t xml:space="preserve">have different characteristics than those of conventional banks. </w:t>
      </w:r>
    </w:p>
    <w:p w:rsidR="0051212C" w:rsidRDefault="00622FC4" w:rsidP="00191003">
      <w:pPr>
        <w:spacing w:line="288" w:lineRule="auto"/>
        <w:rPr>
          <w:rFonts w:ascii="Times New Roman" w:eastAsia="TimesNRMTPro" w:hAnsi="Times New Roman"/>
          <w:szCs w:val="24"/>
          <w:lang w:val="en-GB"/>
        </w:rPr>
      </w:pPr>
      <w:r>
        <w:rPr>
          <w:rFonts w:ascii="Times New Roman" w:eastAsia="TimesNRMTPro" w:hAnsi="Times New Roman"/>
          <w:szCs w:val="24"/>
          <w:lang w:val="en-GB"/>
        </w:rPr>
        <w:tab/>
        <w:t>A case in point are sukuk</w:t>
      </w:r>
      <w:r w:rsidR="003E4933">
        <w:rPr>
          <w:rFonts w:ascii="Times New Roman" w:eastAsia="TimesNRMTPro" w:hAnsi="Times New Roman"/>
          <w:szCs w:val="24"/>
          <w:lang w:val="en-GB"/>
        </w:rPr>
        <w:t>. AA</w:t>
      </w:r>
      <w:r w:rsidR="008972A4">
        <w:rPr>
          <w:rFonts w:ascii="Times New Roman" w:eastAsia="TimesNRMTPro" w:hAnsi="Times New Roman"/>
          <w:szCs w:val="24"/>
          <w:lang w:val="en-GB"/>
        </w:rPr>
        <w:t>O</w:t>
      </w:r>
      <w:r w:rsidR="003E4933">
        <w:rPr>
          <w:rFonts w:ascii="Times New Roman" w:eastAsia="TimesNRMTPro" w:hAnsi="Times New Roman"/>
          <w:szCs w:val="24"/>
          <w:lang w:val="en-GB"/>
        </w:rPr>
        <w:t>I</w:t>
      </w:r>
      <w:r w:rsidR="008972A4">
        <w:rPr>
          <w:rFonts w:ascii="Times New Roman" w:eastAsia="TimesNRMTPro" w:hAnsi="Times New Roman"/>
          <w:szCs w:val="24"/>
          <w:lang w:val="en-GB"/>
        </w:rPr>
        <w:t>FI accepts 14 different varieties. Decisions must be made to what degree they can be used to fulfil</w:t>
      </w:r>
      <w:r w:rsidR="0051212C">
        <w:rPr>
          <w:rFonts w:ascii="Times New Roman" w:eastAsia="TimesNRMTPro" w:hAnsi="Times New Roman"/>
          <w:szCs w:val="24"/>
          <w:lang w:val="en-GB"/>
        </w:rPr>
        <w:t xml:space="preserve"> Basel III capital-asset rati</w:t>
      </w:r>
      <w:r w:rsidR="00D83F47">
        <w:rPr>
          <w:rFonts w:ascii="Times New Roman" w:eastAsia="TimesNRMTPro" w:hAnsi="Times New Roman"/>
          <w:szCs w:val="24"/>
          <w:lang w:val="en-GB"/>
        </w:rPr>
        <w:t>os. The central bank of the UAE</w:t>
      </w:r>
      <w:r w:rsidR="0051212C">
        <w:rPr>
          <w:rFonts w:ascii="Times New Roman" w:eastAsia="TimesNRMTPro" w:hAnsi="Times New Roman"/>
          <w:szCs w:val="24"/>
          <w:lang w:val="en-GB"/>
        </w:rPr>
        <w:t xml:space="preserve"> accepts perpetual sukuk issued by Abu Dhabi Islamic Bank as Tier 1 capital (Kanji and Gill</w:t>
      </w:r>
      <w:r w:rsidR="00984C92">
        <w:rPr>
          <w:rFonts w:ascii="Times New Roman" w:eastAsia="TimesNRMTPro" w:hAnsi="Times New Roman"/>
          <w:szCs w:val="24"/>
          <w:lang w:val="en-GB"/>
        </w:rPr>
        <w:t>,</w:t>
      </w:r>
      <w:r w:rsidR="0051212C">
        <w:rPr>
          <w:rFonts w:ascii="Times New Roman" w:eastAsia="TimesNRMTPro" w:hAnsi="Times New Roman"/>
          <w:szCs w:val="24"/>
          <w:lang w:val="en-GB"/>
        </w:rPr>
        <w:t xml:space="preserve"> 2013)</w:t>
      </w:r>
      <w:r w:rsidR="00BD3B92">
        <w:rPr>
          <w:rFonts w:ascii="Times New Roman" w:eastAsia="TimesNRMTPro" w:hAnsi="Times New Roman"/>
          <w:szCs w:val="24"/>
          <w:lang w:val="en-GB"/>
        </w:rPr>
        <w:t>.</w:t>
      </w:r>
      <w:r w:rsidR="0092006F">
        <w:rPr>
          <w:rFonts w:ascii="Times New Roman" w:eastAsia="TimesNRMTPro" w:hAnsi="Times New Roman"/>
          <w:szCs w:val="24"/>
          <w:lang w:val="en-GB"/>
        </w:rPr>
        <w:t xml:space="preserve"> </w:t>
      </w:r>
      <w:r w:rsidR="0051212C">
        <w:rPr>
          <w:rFonts w:ascii="Times New Roman" w:eastAsia="TimesNRMTPro" w:hAnsi="Times New Roman"/>
          <w:szCs w:val="24"/>
          <w:lang w:val="en-GB"/>
        </w:rPr>
        <w:t>This looks eminently sensible at first sight, provided the sukuk have a clear PLS profile</w:t>
      </w:r>
      <w:r w:rsidR="00F352F5">
        <w:rPr>
          <w:rFonts w:ascii="Times New Roman" w:eastAsia="TimesNRMTPro" w:hAnsi="Times New Roman"/>
          <w:szCs w:val="24"/>
          <w:lang w:val="en-GB"/>
        </w:rPr>
        <w:t xml:space="preserve">, as with </w:t>
      </w:r>
      <w:r w:rsidR="00BD3B92">
        <w:rPr>
          <w:rFonts w:ascii="Times New Roman" w:eastAsia="TimesNRMTPro" w:hAnsi="Times New Roman"/>
          <w:szCs w:val="24"/>
          <w:lang w:val="en-GB"/>
        </w:rPr>
        <w:t>sukuk</w:t>
      </w:r>
      <w:r w:rsidR="00F352F5" w:rsidRPr="00F352F5">
        <w:rPr>
          <w:rFonts w:ascii="Times New Roman" w:eastAsia="TimesNRMTPro" w:hAnsi="Times New Roman"/>
          <w:szCs w:val="24"/>
          <w:lang w:val="en-GB"/>
        </w:rPr>
        <w:t xml:space="preserve"> </w:t>
      </w:r>
      <w:r w:rsidR="00F352F5">
        <w:rPr>
          <w:rFonts w:ascii="Times New Roman" w:eastAsia="TimesNRMTPro" w:hAnsi="Times New Roman"/>
          <w:szCs w:val="24"/>
          <w:lang w:val="en-GB"/>
        </w:rPr>
        <w:t>mudaraba</w:t>
      </w:r>
      <w:r w:rsidR="00984C92">
        <w:rPr>
          <w:rFonts w:ascii="Times New Roman" w:eastAsia="TimesNRMTPro" w:hAnsi="Times New Roman"/>
          <w:szCs w:val="24"/>
          <w:lang w:val="en-GB"/>
        </w:rPr>
        <w:t xml:space="preserve"> and sukuk musharaka</w:t>
      </w:r>
      <w:r w:rsidR="0051212C">
        <w:rPr>
          <w:rFonts w:ascii="Times New Roman" w:eastAsia="TimesNRMTPro" w:hAnsi="Times New Roman"/>
          <w:szCs w:val="24"/>
          <w:lang w:val="en-GB"/>
        </w:rPr>
        <w:t>.</w:t>
      </w:r>
      <w:r w:rsidR="00BD3B92">
        <w:rPr>
          <w:rFonts w:ascii="Times New Roman" w:eastAsia="TimesNRMTPro" w:hAnsi="Times New Roman"/>
          <w:szCs w:val="24"/>
          <w:lang w:val="en-GB"/>
        </w:rPr>
        <w:t xml:space="preserve"> Others have followed </w:t>
      </w:r>
      <w:r w:rsidR="004831D7">
        <w:rPr>
          <w:rFonts w:ascii="Times New Roman" w:eastAsia="TimesNRMTPro" w:hAnsi="Times New Roman"/>
          <w:szCs w:val="24"/>
          <w:lang w:val="en-GB"/>
        </w:rPr>
        <w:t xml:space="preserve">in the footsteps </w:t>
      </w:r>
      <w:r w:rsidR="00BD3B92">
        <w:rPr>
          <w:rFonts w:ascii="Times New Roman" w:eastAsia="TimesNRMTPro" w:hAnsi="Times New Roman"/>
          <w:szCs w:val="24"/>
          <w:lang w:val="en-GB"/>
        </w:rPr>
        <w:t>of Abu Dhabi. Saudi Arabia’s National Commercial Bank and Qatar Islamic Bank both raised Tier 1 capital by issuing perpetual</w:t>
      </w:r>
      <w:r w:rsidR="00984C92">
        <w:rPr>
          <w:rFonts w:ascii="Times New Roman" w:eastAsia="TimesNRMTPro" w:hAnsi="Times New Roman"/>
          <w:szCs w:val="24"/>
          <w:lang w:val="en-GB"/>
        </w:rPr>
        <w:t xml:space="preserve"> sukuk</w:t>
      </w:r>
      <w:r w:rsidR="00BD3B92">
        <w:rPr>
          <w:rFonts w:ascii="Times New Roman" w:eastAsia="TimesNRMTPro" w:hAnsi="Times New Roman"/>
          <w:szCs w:val="24"/>
          <w:lang w:val="en-GB"/>
        </w:rPr>
        <w:t xml:space="preserve"> </w:t>
      </w:r>
      <w:r w:rsidR="00F352F5">
        <w:rPr>
          <w:rFonts w:ascii="Times New Roman" w:eastAsia="TimesNRMTPro" w:hAnsi="Times New Roman"/>
          <w:szCs w:val="24"/>
          <w:lang w:val="en-GB"/>
        </w:rPr>
        <w:t>mudaraba</w:t>
      </w:r>
      <w:r w:rsidR="004831D7">
        <w:rPr>
          <w:rFonts w:ascii="Times New Roman" w:eastAsia="TimesNRMTPro" w:hAnsi="Times New Roman"/>
          <w:szCs w:val="24"/>
          <w:lang w:val="en-GB"/>
        </w:rPr>
        <w:t xml:space="preserve"> (</w:t>
      </w:r>
      <w:r w:rsidR="00191EE7">
        <w:rPr>
          <w:rFonts w:ascii="Times New Roman" w:eastAsia="TimesNRMTPro" w:hAnsi="Times New Roman"/>
          <w:szCs w:val="24"/>
          <w:lang w:val="en-GB"/>
        </w:rPr>
        <w:t xml:space="preserve">IFN Alerts, </w:t>
      </w:r>
      <w:r w:rsidR="004831D7">
        <w:rPr>
          <w:rFonts w:ascii="Times New Roman" w:eastAsia="TimesNRMTPro" w:hAnsi="Times New Roman"/>
          <w:szCs w:val="24"/>
          <w:lang w:val="en-GB"/>
        </w:rPr>
        <w:t xml:space="preserve">2015). </w:t>
      </w:r>
      <w:r w:rsidR="0051212C">
        <w:rPr>
          <w:rFonts w:ascii="Times New Roman" w:eastAsia="TimesNRMTPro" w:hAnsi="Times New Roman"/>
          <w:szCs w:val="24"/>
          <w:lang w:val="en-GB"/>
        </w:rPr>
        <w:t>But before European bank</w:t>
      </w:r>
      <w:r w:rsidR="00BD3B92">
        <w:rPr>
          <w:rFonts w:ascii="Times New Roman" w:eastAsia="TimesNRMTPro" w:hAnsi="Times New Roman"/>
          <w:szCs w:val="24"/>
          <w:lang w:val="en-GB"/>
        </w:rPr>
        <w:t xml:space="preserve"> regulato</w:t>
      </w:r>
      <w:r w:rsidR="00362FF3">
        <w:rPr>
          <w:rFonts w:ascii="Times New Roman" w:eastAsia="TimesNRMTPro" w:hAnsi="Times New Roman"/>
          <w:szCs w:val="24"/>
          <w:lang w:val="en-GB"/>
        </w:rPr>
        <w:t>rs and</w:t>
      </w:r>
      <w:r w:rsidR="0051212C">
        <w:rPr>
          <w:rFonts w:ascii="Times New Roman" w:eastAsia="TimesNRMTPro" w:hAnsi="Times New Roman"/>
          <w:szCs w:val="24"/>
          <w:lang w:val="en-GB"/>
        </w:rPr>
        <w:t xml:space="preserve"> supervisors </w:t>
      </w:r>
      <w:r w:rsidR="004831D7">
        <w:rPr>
          <w:rFonts w:ascii="Times New Roman" w:eastAsia="TimesNRMTPro" w:hAnsi="Times New Roman"/>
          <w:szCs w:val="24"/>
          <w:lang w:val="en-GB"/>
        </w:rPr>
        <w:t>agree on assigning Tier 1 status on such sukuk, or 100% Tier 1 status</w:t>
      </w:r>
      <w:r w:rsidR="00362FF3">
        <w:rPr>
          <w:rFonts w:ascii="Times New Roman" w:eastAsia="TimesNRMTPro" w:hAnsi="Times New Roman"/>
          <w:szCs w:val="24"/>
          <w:lang w:val="en-GB"/>
        </w:rPr>
        <w:t>, they should check whether</w:t>
      </w:r>
      <w:r w:rsidR="00F352F5">
        <w:rPr>
          <w:rFonts w:ascii="Times New Roman" w:eastAsia="TimesNRMTPro" w:hAnsi="Times New Roman"/>
          <w:szCs w:val="24"/>
          <w:lang w:val="en-GB"/>
        </w:rPr>
        <w:t xml:space="preserve"> sukuk holders do </w:t>
      </w:r>
      <w:r w:rsidR="0051212C">
        <w:rPr>
          <w:rFonts w:ascii="Times New Roman" w:eastAsia="TimesNRMTPro" w:hAnsi="Times New Roman"/>
          <w:szCs w:val="24"/>
          <w:lang w:val="en-GB"/>
        </w:rPr>
        <w:t>have recourse to the assets of the bank in case of default. Accepting subordinated sukuk as Tier 2 capital</w:t>
      </w:r>
      <w:r w:rsidR="008A285C">
        <w:rPr>
          <w:rFonts w:ascii="Times New Roman" w:eastAsia="TimesNRMTPro" w:hAnsi="Times New Roman"/>
          <w:szCs w:val="24"/>
          <w:lang w:val="en-GB"/>
        </w:rPr>
        <w:t>, popular in the Gulf states, Malaysia and Turkey,</w:t>
      </w:r>
      <w:r w:rsidR="0051212C">
        <w:rPr>
          <w:rFonts w:ascii="Times New Roman" w:eastAsia="TimesNRMTPro" w:hAnsi="Times New Roman"/>
          <w:szCs w:val="24"/>
          <w:lang w:val="en-GB"/>
        </w:rPr>
        <w:t xml:space="preserve"> </w:t>
      </w:r>
      <w:r w:rsidR="00FD56D8">
        <w:rPr>
          <w:rFonts w:ascii="Times New Roman" w:eastAsia="TimesNRMTPro" w:hAnsi="Times New Roman"/>
          <w:szCs w:val="24"/>
          <w:lang w:val="en-GB"/>
        </w:rPr>
        <w:t>looks less problematic.</w:t>
      </w:r>
      <w:r w:rsidR="0092006F">
        <w:rPr>
          <w:rFonts w:ascii="Times New Roman" w:eastAsia="TimesNRMTPro" w:hAnsi="Times New Roman"/>
          <w:szCs w:val="24"/>
          <w:lang w:val="en-GB"/>
        </w:rPr>
        <w:t xml:space="preserve"> </w:t>
      </w:r>
      <w:r w:rsidR="00E24674">
        <w:rPr>
          <w:rFonts w:ascii="Times New Roman" w:eastAsia="TimesNRMTPro" w:hAnsi="Times New Roman"/>
          <w:szCs w:val="24"/>
          <w:lang w:val="en-GB"/>
        </w:rPr>
        <w:t>As a general rule, Tier 1 capital is meant to absorb shock</w:t>
      </w:r>
      <w:r w:rsidR="003B01B6">
        <w:rPr>
          <w:rFonts w:ascii="Times New Roman" w:eastAsia="TimesNRMTPro" w:hAnsi="Times New Roman"/>
          <w:szCs w:val="24"/>
          <w:lang w:val="en-GB"/>
        </w:rPr>
        <w:t>s</w:t>
      </w:r>
      <w:r w:rsidR="00E24674">
        <w:rPr>
          <w:rFonts w:ascii="Times New Roman" w:eastAsia="TimesNRMTPro" w:hAnsi="Times New Roman"/>
          <w:szCs w:val="24"/>
          <w:lang w:val="en-GB"/>
        </w:rPr>
        <w:t xml:space="preserve"> for a bank as a going concern, whereas Tier 2 capital </w:t>
      </w:r>
      <w:r w:rsidR="003B01B6">
        <w:rPr>
          <w:rFonts w:ascii="Times New Roman" w:eastAsia="TimesNRMTPro" w:hAnsi="Times New Roman"/>
          <w:szCs w:val="24"/>
          <w:lang w:val="en-GB"/>
        </w:rPr>
        <w:t>serves to compensate creditors of a distressed bank</w:t>
      </w:r>
      <w:r w:rsidR="001F0398">
        <w:rPr>
          <w:rFonts w:ascii="Times New Roman" w:eastAsia="TimesNRMTPro" w:hAnsi="Times New Roman"/>
          <w:szCs w:val="24"/>
          <w:lang w:val="en-GB"/>
        </w:rPr>
        <w:t xml:space="preserve">. Tier 1 is divided into Common Equity Tier 1 and Additional Tier 1 (AT1). AT1 includes unsecured instruments with a minimum of 5-year maturity that rank senior to common equity </w:t>
      </w:r>
      <w:r w:rsidR="0081609B">
        <w:rPr>
          <w:rFonts w:ascii="Times New Roman" w:eastAsia="TimesNRMTPro" w:hAnsi="Times New Roman"/>
          <w:szCs w:val="24"/>
          <w:lang w:val="en-GB"/>
        </w:rPr>
        <w:t>but rank junior to Tier 2 instruments and to depositors, general creditors and holders o</w:t>
      </w:r>
      <w:r w:rsidR="00984C92">
        <w:rPr>
          <w:rFonts w:ascii="Times New Roman" w:eastAsia="TimesNRMTPro" w:hAnsi="Times New Roman"/>
          <w:szCs w:val="24"/>
          <w:lang w:val="en-GB"/>
        </w:rPr>
        <w:t>f</w:t>
      </w:r>
      <w:r w:rsidR="0081609B">
        <w:rPr>
          <w:rFonts w:ascii="Times New Roman" w:eastAsia="TimesNRMTPro" w:hAnsi="Times New Roman"/>
          <w:szCs w:val="24"/>
          <w:lang w:val="en-GB"/>
        </w:rPr>
        <w:t xml:space="preserve"> subordinated debt of the bank, plus debt instruments that will be converted into common equity or written down when a pre-specified trigger event occurs. Bank Negara Malaysia includes unrestricted musharaka, mudaraba and wakala sukuk </w:t>
      </w:r>
      <w:r w:rsidR="00500FFE">
        <w:rPr>
          <w:rFonts w:ascii="Times New Roman" w:eastAsia="TimesNRMTPro" w:hAnsi="Times New Roman"/>
          <w:szCs w:val="24"/>
          <w:lang w:val="en-GB"/>
        </w:rPr>
        <w:t>under AT1</w:t>
      </w:r>
      <w:r w:rsidR="005838EC">
        <w:rPr>
          <w:rFonts w:ascii="Times New Roman" w:eastAsia="TimesNRMTPro" w:hAnsi="Times New Roman"/>
          <w:szCs w:val="24"/>
          <w:lang w:val="en-GB"/>
        </w:rPr>
        <w:t xml:space="preserve"> (Sairally et al.</w:t>
      </w:r>
      <w:r w:rsidR="00191003">
        <w:rPr>
          <w:rFonts w:ascii="Times New Roman" w:eastAsia="TimesNRMTPro" w:hAnsi="Times New Roman"/>
          <w:szCs w:val="24"/>
          <w:lang w:val="en-GB"/>
        </w:rPr>
        <w:t xml:space="preserve"> 2016)</w:t>
      </w:r>
      <w:r w:rsidR="005838EC">
        <w:rPr>
          <w:rFonts w:ascii="Times New Roman" w:eastAsia="TimesNRMTPro" w:hAnsi="Times New Roman"/>
          <w:szCs w:val="24"/>
          <w:lang w:val="en-GB"/>
        </w:rPr>
        <w:t>). A</w:t>
      </w:r>
      <w:r w:rsidR="0081609B">
        <w:rPr>
          <w:rFonts w:ascii="Times New Roman" w:eastAsia="TimesNRMTPro" w:hAnsi="Times New Roman"/>
          <w:szCs w:val="24"/>
          <w:lang w:val="en-GB"/>
        </w:rPr>
        <w:t xml:space="preserve"> case could be made for including unrestricted musharaka under common equity</w:t>
      </w:r>
      <w:r w:rsidR="005838EC">
        <w:rPr>
          <w:rFonts w:ascii="Times New Roman" w:eastAsia="TimesNRMTPro" w:hAnsi="Times New Roman"/>
          <w:szCs w:val="24"/>
          <w:lang w:val="en-GB"/>
        </w:rPr>
        <w:t>, which is what IFSB basically does</w:t>
      </w:r>
      <w:r w:rsidR="00383E9A">
        <w:rPr>
          <w:rFonts w:ascii="Times New Roman" w:eastAsia="TimesNRMTPro" w:hAnsi="Times New Roman"/>
          <w:szCs w:val="24"/>
          <w:lang w:val="en-GB"/>
        </w:rPr>
        <w:t xml:space="preserve"> instead of under AT1, because they should not be ranked senior to CET1, as Basel III requires</w:t>
      </w:r>
      <w:r w:rsidR="005838EC">
        <w:rPr>
          <w:rFonts w:ascii="Times New Roman" w:eastAsia="TimesNRMTPro" w:hAnsi="Times New Roman"/>
          <w:szCs w:val="24"/>
          <w:lang w:val="en-GB"/>
        </w:rPr>
        <w:t xml:space="preserve">. However, </w:t>
      </w:r>
      <w:r w:rsidR="00500FFE">
        <w:rPr>
          <w:rFonts w:ascii="Times New Roman" w:eastAsia="TimesNRMTPro" w:hAnsi="Times New Roman"/>
          <w:szCs w:val="24"/>
          <w:lang w:val="en-GB"/>
        </w:rPr>
        <w:t xml:space="preserve"> it is a moot point</w:t>
      </w:r>
      <w:r w:rsidR="0081609B">
        <w:rPr>
          <w:rFonts w:ascii="Times New Roman" w:eastAsia="TimesNRMTPro" w:hAnsi="Times New Roman"/>
          <w:szCs w:val="24"/>
          <w:lang w:val="en-GB"/>
        </w:rPr>
        <w:t xml:space="preserve"> whether mudaraba </w:t>
      </w:r>
      <w:r w:rsidR="00500FFE">
        <w:rPr>
          <w:rFonts w:ascii="Times New Roman" w:eastAsia="TimesNRMTPro" w:hAnsi="Times New Roman"/>
          <w:szCs w:val="24"/>
          <w:lang w:val="en-GB"/>
        </w:rPr>
        <w:t>and wakala sukuk are suitable for AT1 purposes. IFSB</w:t>
      </w:r>
      <w:r w:rsidR="00481895">
        <w:rPr>
          <w:rFonts w:ascii="Times New Roman" w:eastAsia="TimesNRMTPro" w:hAnsi="Times New Roman"/>
          <w:szCs w:val="24"/>
          <w:lang w:val="en-GB"/>
        </w:rPr>
        <w:t xml:space="preserve"> says they are not and Sairally et al. (2016) concur, arguing that mudaraba and wakala sukuk holders hav</w:t>
      </w:r>
      <w:r w:rsidR="00984C92">
        <w:rPr>
          <w:rFonts w:ascii="Times New Roman" w:eastAsia="TimesNRMTPro" w:hAnsi="Times New Roman"/>
          <w:szCs w:val="24"/>
          <w:lang w:val="en-GB"/>
        </w:rPr>
        <w:t>e</w:t>
      </w:r>
      <w:r w:rsidR="00481895">
        <w:rPr>
          <w:rFonts w:ascii="Times New Roman" w:eastAsia="TimesNRMTPro" w:hAnsi="Times New Roman"/>
          <w:szCs w:val="24"/>
          <w:lang w:val="en-GB"/>
        </w:rPr>
        <w:t xml:space="preserve"> a first claim on the the residual value of the portion of the assets financed by their funds. Supervisors will have to </w:t>
      </w:r>
      <w:r w:rsidR="005838EC">
        <w:rPr>
          <w:rFonts w:ascii="Times New Roman" w:eastAsia="TimesNRMTPro" w:hAnsi="Times New Roman"/>
          <w:szCs w:val="24"/>
          <w:lang w:val="en-GB"/>
        </w:rPr>
        <w:t>take a decision.</w:t>
      </w:r>
    </w:p>
    <w:p w:rsidR="00622FC4" w:rsidRDefault="004B6A3A" w:rsidP="00BB0DFC">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Next</w:t>
      </w:r>
      <w:r w:rsidR="004A0605">
        <w:rPr>
          <w:rFonts w:ascii="Times New Roman" w:eastAsia="TimesNRMTPro" w:hAnsi="Times New Roman"/>
          <w:szCs w:val="24"/>
          <w:lang w:val="en-GB"/>
        </w:rPr>
        <w:t xml:space="preserve"> we have the investment accounts </w:t>
      </w:r>
      <w:r>
        <w:rPr>
          <w:rFonts w:ascii="Times New Roman" w:eastAsia="TimesNRMTPro" w:hAnsi="Times New Roman"/>
          <w:szCs w:val="24"/>
          <w:lang w:val="en-GB"/>
        </w:rPr>
        <w:t>discussed</w:t>
      </w:r>
      <w:r w:rsidR="004A0605">
        <w:rPr>
          <w:rFonts w:ascii="Times New Roman" w:eastAsia="TimesNRMTPro" w:hAnsi="Times New Roman"/>
          <w:szCs w:val="24"/>
          <w:lang w:val="en-GB"/>
        </w:rPr>
        <w:t xml:space="preserve"> above. In principle, unrestricted investment accounts s</w:t>
      </w:r>
      <w:r w:rsidR="00622FC4" w:rsidRPr="00693DF6">
        <w:rPr>
          <w:rFonts w:ascii="Times New Roman" w:eastAsia="TimesNRMTPro" w:hAnsi="Times New Roman"/>
          <w:szCs w:val="24"/>
          <w:lang w:val="en-GB"/>
        </w:rPr>
        <w:t>hare in the total r</w:t>
      </w:r>
      <w:r w:rsidR="004A0605">
        <w:rPr>
          <w:rFonts w:ascii="Times New Roman" w:eastAsia="TimesNRMTPro" w:hAnsi="Times New Roman"/>
          <w:szCs w:val="24"/>
          <w:lang w:val="en-GB"/>
        </w:rPr>
        <w:t xml:space="preserve">isk of the bank and thus can be accepted as a form of risk capital, whereas restricted investment accounts </w:t>
      </w:r>
      <w:r w:rsidR="00622FC4" w:rsidRPr="00693DF6">
        <w:rPr>
          <w:rFonts w:ascii="Times New Roman" w:eastAsia="TimesNRMTPro" w:hAnsi="Times New Roman"/>
          <w:szCs w:val="24"/>
          <w:lang w:val="en-GB"/>
        </w:rPr>
        <w:t>only share the risks of th</w:t>
      </w:r>
      <w:r w:rsidR="004A0605">
        <w:rPr>
          <w:rFonts w:ascii="Times New Roman" w:eastAsia="TimesNRMTPro" w:hAnsi="Times New Roman"/>
          <w:szCs w:val="24"/>
          <w:lang w:val="en-GB"/>
        </w:rPr>
        <w:t xml:space="preserve">eir specific </w:t>
      </w:r>
      <w:r w:rsidR="00622FC4" w:rsidRPr="00693DF6">
        <w:rPr>
          <w:rFonts w:ascii="Times New Roman" w:eastAsia="TimesNRMTPro" w:hAnsi="Times New Roman"/>
          <w:szCs w:val="24"/>
          <w:lang w:val="en-GB"/>
        </w:rPr>
        <w:t>investments</w:t>
      </w:r>
      <w:r w:rsidR="004A0605">
        <w:rPr>
          <w:rFonts w:ascii="Times New Roman" w:eastAsia="TimesNRMTPro" w:hAnsi="Times New Roman"/>
          <w:szCs w:val="24"/>
          <w:lang w:val="en-GB"/>
        </w:rPr>
        <w:t xml:space="preserve"> and  </w:t>
      </w:r>
      <w:r w:rsidR="00622FC4" w:rsidRPr="00693DF6">
        <w:rPr>
          <w:rFonts w:ascii="Times New Roman" w:eastAsia="TimesNRMTPro" w:hAnsi="Times New Roman"/>
          <w:szCs w:val="24"/>
          <w:lang w:val="en-GB"/>
        </w:rPr>
        <w:t>should not be included in the institution’s risk</w:t>
      </w:r>
      <w:r w:rsidR="004A0605">
        <w:rPr>
          <w:rFonts w:ascii="Times New Roman" w:eastAsia="TimesNRMTPro" w:hAnsi="Times New Roman"/>
          <w:szCs w:val="24"/>
          <w:lang w:val="en-GB"/>
        </w:rPr>
        <w:t xml:space="preserve"> </w:t>
      </w:r>
      <w:r w:rsidR="00622FC4" w:rsidRPr="00693DF6">
        <w:rPr>
          <w:rFonts w:ascii="Times New Roman" w:eastAsia="TimesNRMTPro" w:hAnsi="Times New Roman"/>
          <w:szCs w:val="24"/>
          <w:lang w:val="en-GB"/>
        </w:rPr>
        <w:t xml:space="preserve">capital. </w:t>
      </w:r>
      <w:r w:rsidR="004A0605">
        <w:rPr>
          <w:rFonts w:ascii="Times New Roman" w:eastAsia="TimesNRMTPro" w:hAnsi="Times New Roman"/>
          <w:szCs w:val="24"/>
          <w:lang w:val="en-GB"/>
        </w:rPr>
        <w:t xml:space="preserve">However, </w:t>
      </w:r>
      <w:r w:rsidR="00622FC4" w:rsidRPr="00693DF6">
        <w:rPr>
          <w:rFonts w:ascii="Times New Roman" w:eastAsia="TimesNRMTPro" w:hAnsi="Times New Roman"/>
          <w:szCs w:val="24"/>
          <w:lang w:val="en-GB"/>
        </w:rPr>
        <w:t>Islamic financial institutions tend not to shift losses to</w:t>
      </w:r>
      <w:r w:rsidR="004A0605">
        <w:rPr>
          <w:rFonts w:ascii="Times New Roman" w:eastAsia="TimesNRMTPro" w:hAnsi="Times New Roman"/>
          <w:szCs w:val="24"/>
          <w:lang w:val="en-GB"/>
        </w:rPr>
        <w:t xml:space="preserve"> </w:t>
      </w:r>
      <w:r w:rsidR="00622FC4" w:rsidRPr="00693DF6">
        <w:rPr>
          <w:rFonts w:ascii="Times New Roman" w:eastAsia="TimesNRMTPro" w:hAnsi="Times New Roman"/>
          <w:szCs w:val="24"/>
          <w:lang w:val="en-GB"/>
        </w:rPr>
        <w:t>their clients in practice</w:t>
      </w:r>
      <w:r w:rsidR="004A0605">
        <w:rPr>
          <w:rFonts w:ascii="Times New Roman" w:eastAsia="TimesNRMTPro" w:hAnsi="Times New Roman"/>
          <w:szCs w:val="24"/>
          <w:lang w:val="en-GB"/>
        </w:rPr>
        <w:t xml:space="preserve"> but will </w:t>
      </w:r>
      <w:r w:rsidR="00084102">
        <w:rPr>
          <w:rFonts w:ascii="Times New Roman" w:eastAsia="TimesNRMTPro" w:hAnsi="Times New Roman"/>
          <w:szCs w:val="24"/>
          <w:lang w:val="en-GB"/>
        </w:rPr>
        <w:t xml:space="preserve">practice income smoothing with the help of a </w:t>
      </w:r>
      <w:r w:rsidR="00084102" w:rsidRPr="00084102">
        <w:rPr>
          <w:rFonts w:ascii="Times New Roman" w:eastAsia="TimesNRMTPro" w:hAnsi="Times New Roman"/>
          <w:szCs w:val="24"/>
          <w:lang w:val="en-GB"/>
        </w:rPr>
        <w:t>Profit Equalization Reserve</w:t>
      </w:r>
      <w:r w:rsidR="00084102">
        <w:rPr>
          <w:rFonts w:ascii="Times New Roman" w:eastAsia="TimesNRMTPro" w:hAnsi="Times New Roman"/>
          <w:szCs w:val="24"/>
          <w:lang w:val="en-GB"/>
        </w:rPr>
        <w:t xml:space="preserve"> and perhaps also an Investment Risk Reserve, specifically meant for investment account holders and also funded out of their income (Bakar et al.</w:t>
      </w:r>
      <w:r w:rsidR="00984C92">
        <w:rPr>
          <w:rFonts w:ascii="Times New Roman" w:eastAsia="TimesNRMTPro" w:hAnsi="Times New Roman"/>
          <w:szCs w:val="24"/>
          <w:lang w:val="en-GB"/>
        </w:rPr>
        <w:t>,</w:t>
      </w:r>
      <w:r w:rsidR="00084102">
        <w:rPr>
          <w:rFonts w:ascii="Times New Roman" w:eastAsia="TimesNRMTPro" w:hAnsi="Times New Roman"/>
          <w:szCs w:val="24"/>
          <w:lang w:val="en-GB"/>
        </w:rPr>
        <w:t xml:space="preserve"> 2008 p. 194). That would be an argument against assigning these accounts risk capital status</w:t>
      </w:r>
      <w:r w:rsidR="00984C92">
        <w:rPr>
          <w:rFonts w:ascii="Times New Roman" w:eastAsia="TimesNRMTPro" w:hAnsi="Times New Roman"/>
          <w:szCs w:val="24"/>
          <w:lang w:val="en-GB"/>
        </w:rPr>
        <w:t xml:space="preserve">, what anyhow would be </w:t>
      </w:r>
      <w:r w:rsidR="00BB0DFC">
        <w:rPr>
          <w:rFonts w:ascii="Times New Roman" w:eastAsia="TimesNRMTPro" w:hAnsi="Times New Roman"/>
          <w:szCs w:val="24"/>
          <w:lang w:val="en-GB"/>
        </w:rPr>
        <w:t>incongruent</w:t>
      </w:r>
      <w:r w:rsidR="00984C92">
        <w:rPr>
          <w:rFonts w:ascii="Times New Roman" w:eastAsia="TimesNRMTPro" w:hAnsi="Times New Roman"/>
          <w:szCs w:val="24"/>
          <w:lang w:val="en-GB"/>
        </w:rPr>
        <w:t xml:space="preserve"> if holders have recourse to the assets financed by their funds</w:t>
      </w:r>
      <w:r w:rsidR="00084102">
        <w:rPr>
          <w:rFonts w:ascii="Times New Roman" w:eastAsia="TimesNRMTPro" w:hAnsi="Times New Roman"/>
          <w:szCs w:val="24"/>
          <w:lang w:val="en-GB"/>
        </w:rPr>
        <w:t>.</w:t>
      </w:r>
      <w:r w:rsidR="00984C92">
        <w:rPr>
          <w:rFonts w:ascii="Times New Roman" w:eastAsia="TimesNRMTPro" w:hAnsi="Times New Roman"/>
          <w:szCs w:val="24"/>
          <w:lang w:val="en-GB"/>
        </w:rPr>
        <w:t xml:space="preserve"> </w:t>
      </w:r>
      <w:r w:rsidR="00362FF3">
        <w:rPr>
          <w:rFonts w:ascii="Times New Roman" w:eastAsia="TimesNRMTPro" w:hAnsi="Times New Roman"/>
          <w:szCs w:val="24"/>
          <w:lang w:val="en-GB"/>
        </w:rPr>
        <w:t xml:space="preserve"> To deal with</w:t>
      </w:r>
      <w:r>
        <w:rPr>
          <w:rFonts w:ascii="Times New Roman" w:eastAsia="TimesNRMTPro" w:hAnsi="Times New Roman"/>
          <w:szCs w:val="24"/>
          <w:lang w:val="en-GB"/>
        </w:rPr>
        <w:t xml:space="preserve"> this on-</w:t>
      </w:r>
      <w:r w:rsidR="009A37C5">
        <w:rPr>
          <w:rFonts w:ascii="Times New Roman" w:eastAsia="TimesNRMTPro" w:hAnsi="Times New Roman"/>
          <w:szCs w:val="24"/>
          <w:lang w:val="en-GB"/>
        </w:rPr>
        <w:t>the</w:t>
      </w:r>
      <w:r>
        <w:rPr>
          <w:rFonts w:ascii="Times New Roman" w:eastAsia="TimesNRMTPro" w:hAnsi="Times New Roman"/>
          <w:szCs w:val="24"/>
          <w:lang w:val="en-GB"/>
        </w:rPr>
        <w:t>-one-</w:t>
      </w:r>
      <w:r w:rsidR="009A37C5">
        <w:rPr>
          <w:rFonts w:ascii="Times New Roman" w:eastAsia="TimesNRMTPro" w:hAnsi="Times New Roman"/>
          <w:szCs w:val="24"/>
          <w:lang w:val="en-GB"/>
        </w:rPr>
        <w:t>hand – on</w:t>
      </w:r>
      <w:r>
        <w:rPr>
          <w:rFonts w:ascii="Times New Roman" w:eastAsia="TimesNRMTPro" w:hAnsi="Times New Roman"/>
          <w:szCs w:val="24"/>
          <w:lang w:val="en-GB"/>
        </w:rPr>
        <w:t>-</w:t>
      </w:r>
      <w:r w:rsidR="009A37C5">
        <w:rPr>
          <w:rFonts w:ascii="Times New Roman" w:eastAsia="TimesNRMTPro" w:hAnsi="Times New Roman"/>
          <w:szCs w:val="24"/>
          <w:lang w:val="en-GB"/>
        </w:rPr>
        <w:t>the</w:t>
      </w:r>
      <w:r>
        <w:rPr>
          <w:rFonts w:ascii="Times New Roman" w:eastAsia="TimesNRMTPro" w:hAnsi="Times New Roman"/>
          <w:szCs w:val="24"/>
          <w:lang w:val="en-GB"/>
        </w:rPr>
        <w:t>-</w:t>
      </w:r>
      <w:r w:rsidR="009A37C5">
        <w:rPr>
          <w:rFonts w:ascii="Times New Roman" w:eastAsia="TimesNRMTPro" w:hAnsi="Times New Roman"/>
          <w:szCs w:val="24"/>
          <w:lang w:val="en-GB"/>
        </w:rPr>
        <w:t>other</w:t>
      </w:r>
      <w:r>
        <w:rPr>
          <w:rFonts w:ascii="Times New Roman" w:eastAsia="TimesNRMTPro" w:hAnsi="Times New Roman"/>
          <w:szCs w:val="24"/>
          <w:lang w:val="en-GB"/>
        </w:rPr>
        <w:t xml:space="preserve"> </w:t>
      </w:r>
      <w:r w:rsidR="009A37C5">
        <w:rPr>
          <w:rFonts w:ascii="Times New Roman" w:eastAsia="TimesNRMTPro" w:hAnsi="Times New Roman"/>
          <w:szCs w:val="24"/>
          <w:lang w:val="en-GB"/>
        </w:rPr>
        <w:t xml:space="preserve">situation the </w:t>
      </w:r>
      <w:r w:rsidR="00065ECC">
        <w:rPr>
          <w:rFonts w:ascii="Times New Roman" w:eastAsia="TimesNRMTPro" w:hAnsi="Times New Roman"/>
          <w:szCs w:val="24"/>
          <w:lang w:val="en-GB"/>
        </w:rPr>
        <w:t xml:space="preserve">IFSB </w:t>
      </w:r>
      <w:r w:rsidR="00BE5FE9">
        <w:rPr>
          <w:rFonts w:ascii="Times New Roman" w:eastAsia="TimesNRMTPro" w:hAnsi="Times New Roman"/>
          <w:szCs w:val="24"/>
          <w:lang w:val="en-GB"/>
        </w:rPr>
        <w:t>provides two formulas for calculating the capital-asset ratio</w:t>
      </w:r>
      <w:r w:rsidR="00622FC4" w:rsidRPr="00937209">
        <w:rPr>
          <w:rFonts w:ascii="Times New Roman" w:eastAsia="TimesNRMTPro" w:hAnsi="Times New Roman"/>
          <w:szCs w:val="24"/>
          <w:lang w:val="en-GB"/>
        </w:rPr>
        <w:t xml:space="preserve">: </w:t>
      </w:r>
      <w:r w:rsidR="00BB0DFC">
        <w:rPr>
          <w:rFonts w:ascii="Times New Roman" w:eastAsia="TimesNRMTPro" w:hAnsi="Times New Roman"/>
          <w:szCs w:val="24"/>
          <w:lang w:val="en-GB"/>
        </w:rPr>
        <w:t>(i)</w:t>
      </w:r>
      <w:r w:rsidR="00622FC4" w:rsidRPr="00937209">
        <w:rPr>
          <w:rFonts w:ascii="Times New Roman" w:eastAsia="TimesNRMTPro" w:hAnsi="Times New Roman"/>
          <w:szCs w:val="24"/>
          <w:lang w:val="en-GB"/>
        </w:rPr>
        <w:t xml:space="preserve"> a standard formula, </w:t>
      </w:r>
      <w:r w:rsidR="00BE5FE9">
        <w:rPr>
          <w:rFonts w:ascii="Times New Roman" w:eastAsia="TimesNRMTPro" w:hAnsi="Times New Roman"/>
          <w:szCs w:val="24"/>
          <w:lang w:val="en-GB"/>
        </w:rPr>
        <w:t xml:space="preserve">for cases where </w:t>
      </w:r>
      <w:r w:rsidR="00622FC4" w:rsidRPr="00937209">
        <w:rPr>
          <w:rFonts w:ascii="Times New Roman" w:eastAsia="TimesNRMTPro" w:hAnsi="Times New Roman"/>
          <w:szCs w:val="24"/>
          <w:lang w:val="en-GB"/>
        </w:rPr>
        <w:t>the investment</w:t>
      </w:r>
      <w:r w:rsidR="00BE5FE9">
        <w:rPr>
          <w:rFonts w:ascii="Times New Roman" w:eastAsia="TimesNRMTPro" w:hAnsi="Times New Roman"/>
          <w:szCs w:val="24"/>
          <w:lang w:val="en-GB"/>
        </w:rPr>
        <w:t xml:space="preserve"> </w:t>
      </w:r>
      <w:r w:rsidR="00622FC4" w:rsidRPr="00937209">
        <w:rPr>
          <w:rFonts w:ascii="Times New Roman" w:eastAsia="TimesNRMTPro" w:hAnsi="Times New Roman"/>
          <w:szCs w:val="24"/>
          <w:lang w:val="en-GB"/>
        </w:rPr>
        <w:t xml:space="preserve">account holder </w:t>
      </w:r>
      <w:r w:rsidR="00BE5FE9">
        <w:rPr>
          <w:rFonts w:ascii="Times New Roman" w:eastAsia="TimesNRMTPro" w:hAnsi="Times New Roman"/>
          <w:szCs w:val="24"/>
          <w:lang w:val="en-GB"/>
        </w:rPr>
        <w:t xml:space="preserve">fully </w:t>
      </w:r>
      <w:r w:rsidR="00622FC4" w:rsidRPr="00937209">
        <w:rPr>
          <w:rFonts w:ascii="Times New Roman" w:eastAsia="TimesNRMTPro" w:hAnsi="Times New Roman"/>
          <w:szCs w:val="24"/>
          <w:lang w:val="en-GB"/>
        </w:rPr>
        <w:t>bears the credit and market risks of the assets funded by the investment</w:t>
      </w:r>
      <w:r w:rsidR="00BE5FE9">
        <w:rPr>
          <w:rFonts w:ascii="Times New Roman" w:eastAsia="TimesNRMTPro" w:hAnsi="Times New Roman"/>
          <w:szCs w:val="24"/>
          <w:lang w:val="en-GB"/>
        </w:rPr>
        <w:t xml:space="preserve"> </w:t>
      </w:r>
      <w:r w:rsidR="00622FC4" w:rsidRPr="00937209">
        <w:rPr>
          <w:rFonts w:ascii="Times New Roman" w:eastAsia="TimesNRMTPro" w:hAnsi="Times New Roman"/>
          <w:szCs w:val="24"/>
          <w:lang w:val="en-GB"/>
        </w:rPr>
        <w:t xml:space="preserve">account; and </w:t>
      </w:r>
      <w:r w:rsidR="00BB0DFC">
        <w:rPr>
          <w:rFonts w:ascii="Times New Roman" w:eastAsia="TimesNRMTPro" w:hAnsi="Times New Roman"/>
          <w:szCs w:val="24"/>
          <w:lang w:val="en-GB"/>
        </w:rPr>
        <w:t>(</w:t>
      </w:r>
      <w:r w:rsidR="00622FC4" w:rsidRPr="00937209">
        <w:rPr>
          <w:rFonts w:ascii="Times New Roman" w:eastAsia="TimesNRMTPro" w:hAnsi="Times New Roman"/>
          <w:szCs w:val="24"/>
          <w:lang w:val="en-GB"/>
        </w:rPr>
        <w:t xml:space="preserve">ii) a discretionary formula, where </w:t>
      </w:r>
      <w:r w:rsidR="00BE5FE9">
        <w:rPr>
          <w:rFonts w:ascii="Times New Roman" w:eastAsia="TimesNRMTPro" w:hAnsi="Times New Roman"/>
          <w:szCs w:val="24"/>
          <w:lang w:val="en-GB"/>
        </w:rPr>
        <w:t>a correction</w:t>
      </w:r>
      <w:r w:rsidR="00622FC4" w:rsidRPr="00937209">
        <w:rPr>
          <w:rFonts w:ascii="Times New Roman" w:eastAsia="TimesNRMTPro" w:hAnsi="Times New Roman"/>
          <w:szCs w:val="24"/>
          <w:lang w:val="en-GB"/>
        </w:rPr>
        <w:t xml:space="preserve"> factor is applied</w:t>
      </w:r>
      <w:r w:rsidR="00BE5FE9">
        <w:rPr>
          <w:rFonts w:ascii="Times New Roman" w:eastAsia="TimesNRMTPro" w:hAnsi="Times New Roman"/>
          <w:szCs w:val="24"/>
          <w:lang w:val="en-GB"/>
        </w:rPr>
        <w:t xml:space="preserve"> to take account of the degree in which </w:t>
      </w:r>
      <w:r w:rsidR="00622FC4" w:rsidRPr="00937209">
        <w:rPr>
          <w:rFonts w:ascii="Times New Roman" w:eastAsia="TimesNRMTPro" w:hAnsi="Times New Roman"/>
          <w:szCs w:val="24"/>
          <w:lang w:val="en-GB"/>
        </w:rPr>
        <w:t>account ho</w:t>
      </w:r>
      <w:r w:rsidR="00BE5FE9">
        <w:rPr>
          <w:rFonts w:ascii="Times New Roman" w:eastAsia="TimesNRMTPro" w:hAnsi="Times New Roman"/>
          <w:szCs w:val="24"/>
          <w:lang w:val="en-GB"/>
        </w:rPr>
        <w:t xml:space="preserve">lders share the losses </w:t>
      </w:r>
      <w:r w:rsidR="00362FF3">
        <w:rPr>
          <w:rFonts w:ascii="Times New Roman" w:eastAsia="TimesNRMTPro" w:hAnsi="Times New Roman"/>
          <w:szCs w:val="24"/>
          <w:lang w:val="en-GB"/>
        </w:rPr>
        <w:t>(López Mejía</w:t>
      </w:r>
      <w:r w:rsidR="00BB0DFC">
        <w:rPr>
          <w:rFonts w:ascii="Times New Roman" w:eastAsia="TimesNRMTPro" w:hAnsi="Times New Roman"/>
          <w:szCs w:val="24"/>
          <w:lang w:val="en-GB"/>
        </w:rPr>
        <w:t>,</w:t>
      </w:r>
      <w:r w:rsidR="00362FF3">
        <w:rPr>
          <w:rFonts w:ascii="Times New Roman" w:eastAsia="TimesNRMTPro" w:hAnsi="Times New Roman"/>
          <w:szCs w:val="24"/>
          <w:lang w:val="en-GB"/>
        </w:rPr>
        <w:t xml:space="preserve"> 2014)</w:t>
      </w:r>
      <w:r w:rsidR="00622FC4" w:rsidRPr="00937209">
        <w:rPr>
          <w:rFonts w:ascii="Times New Roman" w:eastAsia="TimesNRMTPro" w:hAnsi="Times New Roman"/>
          <w:szCs w:val="24"/>
          <w:lang w:val="en-GB"/>
        </w:rPr>
        <w:t>.</w:t>
      </w:r>
      <w:r w:rsidR="00362FF3">
        <w:rPr>
          <w:rFonts w:ascii="Times New Roman" w:eastAsia="TimesNRMTPro" w:hAnsi="Times New Roman"/>
          <w:szCs w:val="24"/>
          <w:lang w:val="en-GB"/>
        </w:rPr>
        <w:t xml:space="preserve"> Of course, these formulas only provide a</w:t>
      </w:r>
      <w:r w:rsidR="009A737D">
        <w:rPr>
          <w:rFonts w:ascii="Times New Roman" w:eastAsia="TimesNRMTPro" w:hAnsi="Times New Roman"/>
          <w:szCs w:val="24"/>
          <w:lang w:val="en-GB"/>
        </w:rPr>
        <w:t xml:space="preserve"> tool and not a ready-made set of regu</w:t>
      </w:r>
      <w:r w:rsidR="003E4F31">
        <w:rPr>
          <w:rFonts w:ascii="Times New Roman" w:eastAsia="TimesNRMTPro" w:hAnsi="Times New Roman"/>
          <w:szCs w:val="24"/>
          <w:lang w:val="en-GB"/>
        </w:rPr>
        <w:t>lations</w:t>
      </w:r>
      <w:r w:rsidR="00BB0DFC">
        <w:rPr>
          <w:rFonts w:ascii="Times New Roman" w:eastAsia="TimesNRMTPro" w:hAnsi="Times New Roman"/>
          <w:szCs w:val="24"/>
          <w:lang w:val="en-GB"/>
        </w:rPr>
        <w:t xml:space="preserve">. </w:t>
      </w:r>
    </w:p>
    <w:p w:rsidR="00B62C21" w:rsidRDefault="00B62C21" w:rsidP="00BB0DFC">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Finall</w:t>
      </w:r>
      <w:r w:rsidR="00FC0B13">
        <w:rPr>
          <w:rFonts w:ascii="Times New Roman" w:eastAsia="TimesNRMTPro" w:hAnsi="Times New Roman"/>
          <w:szCs w:val="24"/>
          <w:lang w:val="en-GB"/>
        </w:rPr>
        <w:t>y,</w:t>
      </w:r>
      <w:r w:rsidR="00622FC4" w:rsidRPr="00C00E70">
        <w:rPr>
          <w:rFonts w:ascii="Times New Roman" w:eastAsia="TimesNRMTPro" w:hAnsi="Times New Roman"/>
          <w:szCs w:val="24"/>
          <w:lang w:val="en-GB"/>
        </w:rPr>
        <w:t xml:space="preserve"> the normal risks that also confront conventional finance</w:t>
      </w:r>
      <w:r>
        <w:rPr>
          <w:rFonts w:ascii="Times New Roman" w:eastAsia="TimesNRMTPro" w:hAnsi="Times New Roman"/>
          <w:szCs w:val="24"/>
          <w:lang w:val="en-GB"/>
        </w:rPr>
        <w:t xml:space="preserve"> may </w:t>
      </w:r>
      <w:r w:rsidR="00622FC4" w:rsidRPr="00C00E70">
        <w:rPr>
          <w:rFonts w:ascii="Times New Roman" w:eastAsia="TimesNRMTPro" w:hAnsi="Times New Roman"/>
          <w:szCs w:val="24"/>
          <w:lang w:val="en-GB"/>
        </w:rPr>
        <w:t>demand a slightly different application of the rules in the</w:t>
      </w:r>
      <w:r>
        <w:rPr>
          <w:rFonts w:ascii="Times New Roman" w:eastAsia="TimesNRMTPro" w:hAnsi="Times New Roman"/>
          <w:szCs w:val="24"/>
          <w:lang w:val="en-GB"/>
        </w:rPr>
        <w:t xml:space="preserve"> </w:t>
      </w:r>
      <w:r w:rsidR="00622FC4" w:rsidRPr="00C00E70">
        <w:rPr>
          <w:rFonts w:ascii="Times New Roman" w:eastAsia="TimesNRMTPro" w:hAnsi="Times New Roman"/>
          <w:szCs w:val="24"/>
          <w:lang w:val="en-GB"/>
        </w:rPr>
        <w:t>case of Islamic finance</w:t>
      </w:r>
      <w:r>
        <w:rPr>
          <w:rFonts w:ascii="Times New Roman" w:eastAsia="TimesNRMTPro" w:hAnsi="Times New Roman"/>
          <w:szCs w:val="24"/>
          <w:lang w:val="en-GB"/>
        </w:rPr>
        <w:t xml:space="preserve">. Possibly, for instance, Islamic financial institutions run </w:t>
      </w:r>
      <w:r w:rsidR="00A85802">
        <w:rPr>
          <w:rFonts w:ascii="Times New Roman" w:eastAsia="TimesNRMTPro" w:hAnsi="Times New Roman"/>
          <w:szCs w:val="24"/>
          <w:lang w:val="en-GB"/>
        </w:rPr>
        <w:t>a higher</w:t>
      </w:r>
      <w:r>
        <w:rPr>
          <w:rFonts w:ascii="Times New Roman" w:eastAsia="TimesNRMTPro" w:hAnsi="Times New Roman"/>
          <w:szCs w:val="24"/>
          <w:lang w:val="en-GB"/>
        </w:rPr>
        <w:t xml:space="preserve"> risk of losses</w:t>
      </w:r>
      <w:r w:rsidR="00A85802">
        <w:rPr>
          <w:rFonts w:ascii="Times New Roman" w:eastAsia="TimesNRMTPro" w:hAnsi="Times New Roman"/>
          <w:szCs w:val="24"/>
          <w:lang w:val="en-GB"/>
        </w:rPr>
        <w:t xml:space="preserve"> than conventional banks</w:t>
      </w:r>
      <w:r>
        <w:rPr>
          <w:rFonts w:ascii="Times New Roman" w:eastAsia="TimesNRMTPro" w:hAnsi="Times New Roman"/>
          <w:szCs w:val="24"/>
          <w:lang w:val="en-GB"/>
        </w:rPr>
        <w:t xml:space="preserve"> </w:t>
      </w:r>
      <w:r w:rsidR="00A85802">
        <w:rPr>
          <w:rFonts w:ascii="Times New Roman" w:eastAsia="TimesNRMTPro" w:hAnsi="Times New Roman"/>
          <w:szCs w:val="24"/>
          <w:lang w:val="en-GB"/>
        </w:rPr>
        <w:t xml:space="preserve">because of the fact that their financing activities tend to be closely linked with real transactions. The bank is, however briefly, the owner of the good and has to </w:t>
      </w:r>
      <w:r w:rsidR="0092006F">
        <w:rPr>
          <w:rFonts w:ascii="Times New Roman" w:eastAsia="TimesNRMTPro" w:hAnsi="Times New Roman"/>
          <w:szCs w:val="24"/>
          <w:lang w:val="en-GB"/>
        </w:rPr>
        <w:t>absorb</w:t>
      </w:r>
      <w:r w:rsidR="00A85802">
        <w:rPr>
          <w:rFonts w:ascii="Times New Roman" w:eastAsia="TimesNRMTPro" w:hAnsi="Times New Roman"/>
          <w:szCs w:val="24"/>
          <w:lang w:val="en-GB"/>
        </w:rPr>
        <w:t xml:space="preserve"> any loss resulting from theft</w:t>
      </w:r>
      <w:r w:rsidR="00890D9C">
        <w:rPr>
          <w:rFonts w:ascii="Times New Roman" w:eastAsia="TimesNRMTPro" w:hAnsi="Times New Roman"/>
          <w:szCs w:val="24"/>
          <w:lang w:val="en-GB"/>
        </w:rPr>
        <w:t>,</w:t>
      </w:r>
      <w:r w:rsidR="00A85802">
        <w:rPr>
          <w:rFonts w:ascii="Times New Roman" w:eastAsia="TimesNRMTPro" w:hAnsi="Times New Roman"/>
          <w:szCs w:val="24"/>
          <w:lang w:val="en-GB"/>
        </w:rPr>
        <w:t xml:space="preserve"> damage</w:t>
      </w:r>
      <w:r w:rsidR="00890D9C">
        <w:rPr>
          <w:rFonts w:ascii="Times New Roman" w:eastAsia="TimesNRMTPro" w:hAnsi="Times New Roman"/>
          <w:szCs w:val="24"/>
          <w:lang w:val="en-GB"/>
        </w:rPr>
        <w:t xml:space="preserve"> or</w:t>
      </w:r>
      <w:r w:rsidR="00A85802">
        <w:rPr>
          <w:rFonts w:ascii="Times New Roman" w:eastAsia="TimesNRMTPro" w:hAnsi="Times New Roman"/>
          <w:szCs w:val="24"/>
          <w:lang w:val="en-GB"/>
        </w:rPr>
        <w:t xml:space="preserve"> improper documentation and, if the customer has second thoughts and </w:t>
      </w:r>
      <w:r w:rsidR="00890D9C">
        <w:rPr>
          <w:rFonts w:ascii="Times New Roman" w:eastAsia="TimesNRMTPro" w:hAnsi="Times New Roman"/>
          <w:szCs w:val="24"/>
          <w:lang w:val="en-GB"/>
        </w:rPr>
        <w:t xml:space="preserve"> breaks his or her promise to buy the good, </w:t>
      </w:r>
      <w:r w:rsidR="00A85802">
        <w:rPr>
          <w:rFonts w:ascii="Times New Roman" w:eastAsia="TimesNRMTPro" w:hAnsi="Times New Roman"/>
          <w:szCs w:val="24"/>
          <w:lang w:val="en-GB"/>
        </w:rPr>
        <w:t xml:space="preserve">the risk of a </w:t>
      </w:r>
      <w:r w:rsidR="00890D9C">
        <w:rPr>
          <w:rFonts w:ascii="Times New Roman" w:eastAsia="TimesNRMTPro" w:hAnsi="Times New Roman"/>
          <w:szCs w:val="24"/>
          <w:lang w:val="en-GB"/>
        </w:rPr>
        <w:t>lower price</w:t>
      </w:r>
      <w:r w:rsidR="00A85802">
        <w:rPr>
          <w:rFonts w:ascii="Times New Roman" w:eastAsia="TimesNRMTPro" w:hAnsi="Times New Roman"/>
          <w:szCs w:val="24"/>
          <w:lang w:val="en-GB"/>
        </w:rPr>
        <w:t xml:space="preserve"> when disposing of the good.</w:t>
      </w:r>
      <w:r w:rsidR="00583F89">
        <w:rPr>
          <w:rFonts w:ascii="Times New Roman" w:eastAsia="TimesNRMTPro" w:hAnsi="Times New Roman"/>
          <w:szCs w:val="24"/>
          <w:lang w:val="en-GB"/>
        </w:rPr>
        <w:t xml:space="preserve"> </w:t>
      </w:r>
      <w:r w:rsidR="00F60414">
        <w:rPr>
          <w:rFonts w:ascii="Times New Roman" w:eastAsia="TimesNRMTPro" w:hAnsi="Times New Roman"/>
          <w:szCs w:val="24"/>
          <w:lang w:val="en-GB"/>
        </w:rPr>
        <w:t xml:space="preserve">Such market risk </w:t>
      </w:r>
      <w:r w:rsidR="00D33EA0">
        <w:rPr>
          <w:rFonts w:ascii="Times New Roman" w:eastAsia="TimesNRMTPro" w:hAnsi="Times New Roman"/>
          <w:szCs w:val="24"/>
          <w:lang w:val="en-GB"/>
        </w:rPr>
        <w:t>may</w:t>
      </w:r>
      <w:r w:rsidR="00F60414">
        <w:rPr>
          <w:rFonts w:ascii="Times New Roman" w:eastAsia="TimesNRMTPro" w:hAnsi="Times New Roman"/>
          <w:szCs w:val="24"/>
          <w:lang w:val="en-GB"/>
        </w:rPr>
        <w:t xml:space="preserve"> go hand in hand with</w:t>
      </w:r>
      <w:r w:rsidR="00D33EA0">
        <w:rPr>
          <w:rFonts w:ascii="Times New Roman" w:eastAsia="TimesNRMTPro" w:hAnsi="Times New Roman"/>
          <w:szCs w:val="24"/>
          <w:lang w:val="en-GB"/>
        </w:rPr>
        <w:t xml:space="preserve"> </w:t>
      </w:r>
      <w:r w:rsidR="00F60414">
        <w:rPr>
          <w:rFonts w:ascii="Times New Roman" w:eastAsia="TimesNRMTPro" w:hAnsi="Times New Roman"/>
          <w:szCs w:val="24"/>
          <w:lang w:val="en-GB"/>
        </w:rPr>
        <w:t>concentration risk</w:t>
      </w:r>
      <w:r w:rsidR="00D33EA0">
        <w:rPr>
          <w:rFonts w:ascii="Times New Roman" w:eastAsia="TimesNRMTPro" w:hAnsi="Times New Roman"/>
          <w:szCs w:val="24"/>
          <w:lang w:val="en-GB"/>
        </w:rPr>
        <w:t>, as sharia law precludes accepting clients from a number of industries a</w:t>
      </w:r>
      <w:r w:rsidR="00A8586C">
        <w:rPr>
          <w:rFonts w:ascii="Times New Roman" w:eastAsia="TimesNRMTPro" w:hAnsi="Times New Roman"/>
          <w:szCs w:val="24"/>
          <w:lang w:val="en-GB"/>
        </w:rPr>
        <w:t>nd Islamic banks have fewer options to spread risks than conventional banks</w:t>
      </w:r>
      <w:r w:rsidR="00F60414">
        <w:rPr>
          <w:rFonts w:ascii="Times New Roman" w:eastAsia="TimesNRMTPro" w:hAnsi="Times New Roman"/>
          <w:szCs w:val="24"/>
          <w:lang w:val="en-GB"/>
        </w:rPr>
        <w:t xml:space="preserve">. </w:t>
      </w:r>
      <w:r w:rsidR="00E91794">
        <w:rPr>
          <w:rFonts w:ascii="Times New Roman" w:eastAsia="TimesNRMTPro" w:hAnsi="Times New Roman"/>
          <w:szCs w:val="24"/>
          <w:lang w:val="en-GB"/>
        </w:rPr>
        <w:t>Islamic banks often are heavily involved in real estate finance</w:t>
      </w:r>
      <w:r w:rsidR="00F60414">
        <w:rPr>
          <w:rFonts w:ascii="Times New Roman" w:eastAsia="TimesNRMTPro" w:hAnsi="Times New Roman"/>
          <w:szCs w:val="24"/>
          <w:lang w:val="en-GB"/>
        </w:rPr>
        <w:t>,</w:t>
      </w:r>
      <w:r w:rsidR="00E91794">
        <w:rPr>
          <w:rFonts w:ascii="Times New Roman" w:eastAsia="TimesNRMTPro" w:hAnsi="Times New Roman"/>
          <w:szCs w:val="24"/>
          <w:lang w:val="en-GB"/>
        </w:rPr>
        <w:t xml:space="preserve"> resulting in a </w:t>
      </w:r>
      <w:r w:rsidR="0073135F">
        <w:rPr>
          <w:rFonts w:ascii="Times New Roman" w:eastAsia="TimesNRMTPro" w:hAnsi="Times New Roman"/>
          <w:szCs w:val="24"/>
          <w:lang w:val="en-GB"/>
        </w:rPr>
        <w:t>high percentage of</w:t>
      </w:r>
      <w:r w:rsidR="00E91794">
        <w:rPr>
          <w:rFonts w:ascii="Times New Roman" w:eastAsia="TimesNRMTPro" w:hAnsi="Times New Roman"/>
          <w:szCs w:val="24"/>
          <w:lang w:val="en-GB"/>
        </w:rPr>
        <w:t xml:space="preserve"> real estate </w:t>
      </w:r>
      <w:r w:rsidR="0073135F">
        <w:rPr>
          <w:rFonts w:ascii="Times New Roman" w:eastAsia="TimesNRMTPro" w:hAnsi="Times New Roman"/>
          <w:szCs w:val="24"/>
          <w:lang w:val="en-GB"/>
        </w:rPr>
        <w:t>on their balance sheets (Song and Oosthuizen, 2014).</w:t>
      </w:r>
      <w:r w:rsidR="00A8586C">
        <w:rPr>
          <w:rFonts w:ascii="Times New Roman" w:eastAsia="TimesNRMTPro" w:hAnsi="Times New Roman"/>
          <w:szCs w:val="24"/>
          <w:lang w:val="en-GB"/>
        </w:rPr>
        <w:t xml:space="preserve"> Mudaraba contracts bring with them a high credit risk, as the bank as principal is dependent on the exertions of the client as agent to make a profit. Any losses are solely borne by the principal, or rab al-mal, and the client can be made accountable </w:t>
      </w:r>
      <w:r w:rsidR="00BB0DFC">
        <w:rPr>
          <w:rFonts w:ascii="Times New Roman" w:eastAsia="TimesNRMTPro" w:hAnsi="Times New Roman"/>
          <w:szCs w:val="24"/>
          <w:lang w:val="en-GB"/>
        </w:rPr>
        <w:t xml:space="preserve">only </w:t>
      </w:r>
      <w:r w:rsidR="00A8586C">
        <w:rPr>
          <w:rFonts w:ascii="Times New Roman" w:eastAsia="TimesNRMTPro" w:hAnsi="Times New Roman"/>
          <w:szCs w:val="24"/>
          <w:lang w:val="en-GB"/>
        </w:rPr>
        <w:t xml:space="preserve">if culpable negligence or fraud can be proved. </w:t>
      </w:r>
      <w:r w:rsidR="0073135F">
        <w:rPr>
          <w:rFonts w:ascii="Times New Roman" w:eastAsia="TimesNRMTPro" w:hAnsi="Times New Roman"/>
          <w:szCs w:val="24"/>
          <w:lang w:val="en-GB"/>
        </w:rPr>
        <w:t xml:space="preserve"> Hedging opportunities</w:t>
      </w:r>
      <w:r w:rsidR="00A8586C">
        <w:rPr>
          <w:rFonts w:ascii="Times New Roman" w:eastAsia="TimesNRMTPro" w:hAnsi="Times New Roman"/>
          <w:szCs w:val="24"/>
          <w:lang w:val="en-GB"/>
        </w:rPr>
        <w:t xml:space="preserve"> for all these risks</w:t>
      </w:r>
      <w:r w:rsidR="0073135F">
        <w:rPr>
          <w:rFonts w:ascii="Times New Roman" w:eastAsia="TimesNRMTPro" w:hAnsi="Times New Roman"/>
          <w:szCs w:val="24"/>
          <w:lang w:val="en-GB"/>
        </w:rPr>
        <w:t xml:space="preserve"> are limited.</w:t>
      </w:r>
      <w:r w:rsidR="00A85802">
        <w:rPr>
          <w:rFonts w:ascii="Times New Roman" w:eastAsia="TimesNRMTPro" w:hAnsi="Times New Roman"/>
          <w:szCs w:val="24"/>
          <w:lang w:val="en-GB"/>
        </w:rPr>
        <w:t xml:space="preserve"> The question is whether to </w:t>
      </w:r>
      <w:r w:rsidR="0092006F">
        <w:rPr>
          <w:rFonts w:ascii="Times New Roman" w:eastAsia="TimesNRMTPro" w:hAnsi="Times New Roman"/>
          <w:szCs w:val="24"/>
          <w:lang w:val="en-GB"/>
        </w:rPr>
        <w:t>require Islamic banks to hold higher capital-asset ratios with an eye to such risks.</w:t>
      </w:r>
    </w:p>
    <w:p w:rsidR="00B62C21" w:rsidRDefault="00B62C21" w:rsidP="00622FC4">
      <w:pPr>
        <w:spacing w:line="288" w:lineRule="auto"/>
        <w:rPr>
          <w:rFonts w:ascii="Times New Roman" w:eastAsia="TimesNRMTPro" w:hAnsi="Times New Roman"/>
          <w:szCs w:val="24"/>
          <w:lang w:val="en-GB"/>
        </w:rPr>
      </w:pPr>
    </w:p>
    <w:p w:rsidR="008A285C" w:rsidRPr="00BB0DFC" w:rsidRDefault="00BB0DFC" w:rsidP="008A285C">
      <w:pPr>
        <w:spacing w:line="288" w:lineRule="auto"/>
        <w:rPr>
          <w:rFonts w:ascii="Times New Roman" w:eastAsia="TimesNRMTPro" w:hAnsi="Times New Roman"/>
          <w:b/>
          <w:szCs w:val="24"/>
          <w:lang w:val="en-GB"/>
        </w:rPr>
      </w:pPr>
      <w:r w:rsidRPr="00BB0DFC">
        <w:rPr>
          <w:rFonts w:ascii="Times New Roman" w:eastAsia="TimesNRMTPro" w:hAnsi="Times New Roman"/>
          <w:b/>
          <w:szCs w:val="24"/>
          <w:lang w:val="en-GB"/>
        </w:rPr>
        <w:t>7.</w:t>
      </w:r>
      <w:r w:rsidR="008D7DA0" w:rsidRPr="00BB0DFC">
        <w:rPr>
          <w:rFonts w:ascii="Times New Roman" w:eastAsia="TimesNRMTPro" w:hAnsi="Times New Roman"/>
          <w:b/>
          <w:szCs w:val="24"/>
          <w:lang w:val="en-GB"/>
        </w:rPr>
        <w:t>Basel III  liquidity requirements</w:t>
      </w:r>
      <w:r w:rsidR="008A285C" w:rsidRPr="00BB0DFC">
        <w:rPr>
          <w:rFonts w:ascii="Times New Roman" w:eastAsia="TimesNRMTPro" w:hAnsi="Times New Roman"/>
          <w:b/>
          <w:szCs w:val="24"/>
          <w:lang w:val="en-GB"/>
        </w:rPr>
        <w:t xml:space="preserve"> </w:t>
      </w:r>
    </w:p>
    <w:p w:rsidR="00194A37" w:rsidRDefault="008A285C" w:rsidP="001B4E66">
      <w:pPr>
        <w:spacing w:line="288" w:lineRule="auto"/>
        <w:rPr>
          <w:rFonts w:ascii="Times New Roman" w:eastAsia="TimesNRMTPro" w:hAnsi="Times New Roman"/>
          <w:szCs w:val="24"/>
          <w:lang w:val="en-GB"/>
        </w:rPr>
      </w:pPr>
      <w:r>
        <w:rPr>
          <w:rFonts w:ascii="Times New Roman" w:eastAsia="TimesNRMTPro" w:hAnsi="Times New Roman"/>
          <w:szCs w:val="24"/>
          <w:lang w:val="en-GB"/>
        </w:rPr>
        <w:t>Supervisors and regulators have to ask themselves whether Islamic banks should be subject to different required minimum liquidity ratios than conventional banks.</w:t>
      </w:r>
      <w:r w:rsidR="00727D61">
        <w:rPr>
          <w:rFonts w:ascii="Times New Roman" w:eastAsia="TimesNRMTPro" w:hAnsi="Times New Roman"/>
          <w:szCs w:val="24"/>
          <w:lang w:val="en-GB"/>
        </w:rPr>
        <w:t xml:space="preserve"> Murabaha loans figure large</w:t>
      </w:r>
      <w:r w:rsidR="000A7133">
        <w:rPr>
          <w:rFonts w:ascii="Times New Roman" w:eastAsia="TimesNRMTPro" w:hAnsi="Times New Roman"/>
          <w:szCs w:val="24"/>
          <w:lang w:val="en-GB"/>
        </w:rPr>
        <w:t xml:space="preserve"> on Islamic banks’ balance sheet, resulting in a high volume of receivables. These are very illiquid. Sharia law only allow</w:t>
      </w:r>
      <w:r w:rsidR="00194A37">
        <w:rPr>
          <w:rFonts w:ascii="Times New Roman" w:eastAsia="TimesNRMTPro" w:hAnsi="Times New Roman"/>
          <w:szCs w:val="24"/>
          <w:lang w:val="en-GB"/>
        </w:rPr>
        <w:t>s</w:t>
      </w:r>
      <w:r w:rsidR="000A7133">
        <w:rPr>
          <w:rFonts w:ascii="Times New Roman" w:eastAsia="TimesNRMTPro" w:hAnsi="Times New Roman"/>
          <w:szCs w:val="24"/>
          <w:lang w:val="en-GB"/>
        </w:rPr>
        <w:t xml:space="preserve"> them to be sold at par (though Malaysia’s regulator is more lenient, on the ground of maslaha).</w:t>
      </w:r>
      <w:r w:rsidR="00727D61">
        <w:rPr>
          <w:rFonts w:ascii="Times New Roman" w:eastAsia="TimesNRMTPro" w:hAnsi="Times New Roman"/>
          <w:szCs w:val="24"/>
          <w:lang w:val="en-GB"/>
        </w:rPr>
        <w:t xml:space="preserve"> Another issue calling for attention is the run-off rate to</w:t>
      </w:r>
      <w:r w:rsidR="00727D61" w:rsidRPr="00727D61">
        <w:rPr>
          <w:rFonts w:ascii="Times New Roman" w:eastAsia="TimesNRMTPro" w:hAnsi="Times New Roman"/>
          <w:szCs w:val="24"/>
          <w:lang w:val="en-GB"/>
        </w:rPr>
        <w:t xml:space="preserve"> be applied to </w:t>
      </w:r>
      <w:r w:rsidR="00727D61">
        <w:rPr>
          <w:rFonts w:ascii="Times New Roman" w:eastAsia="TimesNRMTPro" w:hAnsi="Times New Roman"/>
          <w:szCs w:val="24"/>
          <w:lang w:val="en-GB"/>
        </w:rPr>
        <w:t>PLS funding.</w:t>
      </w:r>
      <w:r w:rsidR="00194A37" w:rsidRPr="00194A37">
        <w:rPr>
          <w:rFonts w:ascii="Times New Roman" w:eastAsia="TimesNRMTPro" w:hAnsi="Times New Roman"/>
          <w:szCs w:val="24"/>
          <w:lang w:val="en-GB"/>
        </w:rPr>
        <w:t xml:space="preserve"> </w:t>
      </w:r>
      <w:r w:rsidR="00194A37">
        <w:rPr>
          <w:rFonts w:ascii="Times New Roman" w:eastAsia="TimesNRMTPro" w:hAnsi="Times New Roman"/>
          <w:szCs w:val="24"/>
          <w:lang w:val="en-GB"/>
        </w:rPr>
        <w:t xml:space="preserve">Islamic banks rely for their funding to a large extent on short-term investment accounts, which are said to be more volatile than conventional time deposits (Vizcaino, 2014). </w:t>
      </w:r>
      <w:r w:rsidR="001B4E66">
        <w:rPr>
          <w:rFonts w:ascii="Times New Roman" w:eastAsia="TimesNRMTPro" w:hAnsi="Times New Roman"/>
          <w:szCs w:val="24"/>
          <w:lang w:val="en-GB"/>
        </w:rPr>
        <w:t>The</w:t>
      </w:r>
      <w:r w:rsidR="001B4E66" w:rsidRPr="00727D61">
        <w:rPr>
          <w:rFonts w:ascii="Times New Roman" w:eastAsia="TimesNRMTPro" w:hAnsi="Times New Roman"/>
          <w:szCs w:val="24"/>
          <w:lang w:val="en-GB"/>
        </w:rPr>
        <w:t xml:space="preserve"> run-off rate</w:t>
      </w:r>
      <w:r w:rsidR="001B4E66">
        <w:rPr>
          <w:rFonts w:ascii="Times New Roman" w:eastAsia="TimesNRMTPro" w:hAnsi="Times New Roman"/>
          <w:szCs w:val="24"/>
          <w:lang w:val="en-GB"/>
        </w:rPr>
        <w:t xml:space="preserve"> thus may be high</w:t>
      </w:r>
      <w:r w:rsidR="001B4E66" w:rsidRPr="00727D61">
        <w:rPr>
          <w:rFonts w:ascii="Times New Roman" w:eastAsia="TimesNRMTPro" w:hAnsi="Times New Roman"/>
          <w:szCs w:val="24"/>
          <w:lang w:val="en-GB"/>
        </w:rPr>
        <w:t>,</w:t>
      </w:r>
      <w:r w:rsidR="001B4E66">
        <w:rPr>
          <w:rFonts w:ascii="Times New Roman" w:eastAsia="TimesNRMTPro" w:hAnsi="Times New Roman"/>
          <w:szCs w:val="24"/>
          <w:lang w:val="en-GB"/>
        </w:rPr>
        <w:t xml:space="preserve"> which translates into a low</w:t>
      </w:r>
      <w:r w:rsidR="001B4E66" w:rsidRPr="00727D61">
        <w:rPr>
          <w:rFonts w:ascii="Times New Roman" w:eastAsia="TimesNRMTPro" w:hAnsi="Times New Roman"/>
          <w:szCs w:val="24"/>
          <w:lang w:val="en-GB"/>
        </w:rPr>
        <w:t xml:space="preserve"> net stable funding eligibility</w:t>
      </w:r>
      <w:r w:rsidR="001B4E66">
        <w:rPr>
          <w:rFonts w:ascii="Times New Roman" w:eastAsia="TimesNRMTPro" w:hAnsi="Times New Roman"/>
          <w:szCs w:val="24"/>
          <w:lang w:val="en-GB"/>
        </w:rPr>
        <w:t xml:space="preserve"> </w:t>
      </w:r>
      <w:r w:rsidR="001B4E66" w:rsidRPr="00727D61">
        <w:rPr>
          <w:rFonts w:ascii="Times New Roman" w:eastAsia="TimesNRMTPro" w:hAnsi="Times New Roman"/>
          <w:szCs w:val="24"/>
          <w:lang w:val="en-GB"/>
        </w:rPr>
        <w:t xml:space="preserve">of </w:t>
      </w:r>
      <w:r w:rsidR="001B4E66">
        <w:rPr>
          <w:rFonts w:ascii="Times New Roman" w:eastAsia="TimesNRMTPro" w:hAnsi="Times New Roman"/>
          <w:szCs w:val="24"/>
          <w:lang w:val="en-GB"/>
        </w:rPr>
        <w:t>PLS funds (</w:t>
      </w:r>
      <w:r w:rsidR="001B4E66">
        <w:rPr>
          <w:rFonts w:ascii="Times New Roman" w:eastAsia="TimesNRMTPro" w:hAnsi="Times New Roman"/>
          <w:i/>
          <w:szCs w:val="24"/>
          <w:lang w:val="en-GB"/>
        </w:rPr>
        <w:t>The Banker</w:t>
      </w:r>
      <w:r w:rsidR="001B4E66">
        <w:rPr>
          <w:rFonts w:ascii="Times New Roman" w:eastAsia="TimesNRMTPro" w:hAnsi="Times New Roman"/>
          <w:szCs w:val="24"/>
          <w:lang w:val="en-GB"/>
        </w:rPr>
        <w:t>, 2014)</w:t>
      </w:r>
      <w:r w:rsidR="001B4E66" w:rsidRPr="00727D61">
        <w:rPr>
          <w:rFonts w:ascii="Times New Roman" w:eastAsia="TimesNRMTPro" w:hAnsi="Times New Roman"/>
          <w:szCs w:val="24"/>
          <w:lang w:val="en-GB"/>
        </w:rPr>
        <w:t>.</w:t>
      </w:r>
      <w:r w:rsidR="001B4E66">
        <w:rPr>
          <w:rFonts w:ascii="Times New Roman" w:eastAsia="TimesNRMTPro" w:hAnsi="Times New Roman"/>
          <w:szCs w:val="24"/>
          <w:lang w:val="en-GB"/>
        </w:rPr>
        <w:t xml:space="preserve"> </w:t>
      </w:r>
      <w:r w:rsidR="00194A37">
        <w:rPr>
          <w:rFonts w:ascii="Times New Roman" w:eastAsia="TimesNRMTPro" w:hAnsi="Times New Roman"/>
          <w:szCs w:val="24"/>
          <w:lang w:val="en-GB"/>
        </w:rPr>
        <w:t>This would under Basel III</w:t>
      </w:r>
      <w:r w:rsidR="001B4E66">
        <w:rPr>
          <w:rFonts w:ascii="Times New Roman" w:eastAsia="TimesNRMTPro" w:hAnsi="Times New Roman"/>
          <w:szCs w:val="24"/>
          <w:lang w:val="en-GB"/>
        </w:rPr>
        <w:t xml:space="preserve"> imply an</w:t>
      </w:r>
      <w:r w:rsidR="00194A37">
        <w:rPr>
          <w:rFonts w:ascii="Times New Roman" w:eastAsia="TimesNRMTPro" w:hAnsi="Times New Roman"/>
          <w:szCs w:val="24"/>
          <w:lang w:val="en-GB"/>
        </w:rPr>
        <w:t xml:space="preserve"> obligation to hold more high-quality liquid assets in order to </w:t>
      </w:r>
      <w:r w:rsidR="00194A37" w:rsidRPr="007F1AED">
        <w:rPr>
          <w:rFonts w:ascii="Times New Roman" w:eastAsia="TimesNRMTPro" w:hAnsi="Times New Roman"/>
          <w:szCs w:val="24"/>
          <w:lang w:val="en-GB"/>
        </w:rPr>
        <w:t>cover net cash outflows for a 30-day period under a high-stress scenario.</w:t>
      </w:r>
      <w:r w:rsidR="00194A37">
        <w:rPr>
          <w:rFonts w:ascii="Times New Roman" w:eastAsia="TimesNRMTPro" w:hAnsi="Times New Roman"/>
          <w:szCs w:val="24"/>
          <w:lang w:val="en-GB"/>
        </w:rPr>
        <w:t xml:space="preserve"> It is up to national regulators to apply weights to the different funding sources. An IFSB Guidance Note may provide help (IFSB, 2015).</w:t>
      </w:r>
    </w:p>
    <w:p w:rsidR="008A285C" w:rsidRDefault="00194A37" w:rsidP="00FA4081">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 xml:space="preserve">A serious problem for </w:t>
      </w:r>
      <w:r w:rsidR="008A285C">
        <w:rPr>
          <w:rFonts w:ascii="Times New Roman" w:eastAsia="TimesNRMTPro" w:hAnsi="Times New Roman"/>
          <w:szCs w:val="24"/>
          <w:lang w:val="en-GB"/>
        </w:rPr>
        <w:t xml:space="preserve">Islamic banks </w:t>
      </w:r>
      <w:r>
        <w:rPr>
          <w:rFonts w:ascii="Times New Roman" w:eastAsia="TimesNRMTPro" w:hAnsi="Times New Roman"/>
          <w:szCs w:val="24"/>
          <w:lang w:val="en-GB"/>
        </w:rPr>
        <w:t xml:space="preserve">is that they </w:t>
      </w:r>
      <w:r w:rsidR="008A285C">
        <w:rPr>
          <w:rFonts w:ascii="Times New Roman" w:eastAsia="TimesNRMTPro" w:hAnsi="Times New Roman"/>
          <w:szCs w:val="24"/>
          <w:lang w:val="en-GB"/>
        </w:rPr>
        <w:t xml:space="preserve">have far fewer instruments at their disposal for liquidity management than conventional banks, as interest-free short-term investment objects other than cash or current-account deposits are </w:t>
      </w:r>
      <w:r w:rsidR="006A0005">
        <w:rPr>
          <w:rFonts w:ascii="Times New Roman" w:eastAsia="TimesNRMTPro" w:hAnsi="Times New Roman"/>
          <w:szCs w:val="24"/>
          <w:lang w:val="en-GB"/>
        </w:rPr>
        <w:t>few and far between</w:t>
      </w:r>
      <w:r w:rsidR="008A285C">
        <w:rPr>
          <w:rFonts w:ascii="Times New Roman" w:eastAsia="TimesNRMTPro" w:hAnsi="Times New Roman"/>
          <w:szCs w:val="24"/>
          <w:lang w:val="en-GB"/>
        </w:rPr>
        <w:t>.</w:t>
      </w:r>
      <w:r w:rsidR="00A2174D">
        <w:rPr>
          <w:rFonts w:ascii="Times New Roman" w:eastAsia="TimesNRMTPro" w:hAnsi="Times New Roman"/>
          <w:szCs w:val="24"/>
          <w:lang w:val="en-GB"/>
        </w:rPr>
        <w:t xml:space="preserve"> Sukuk might provide a way out, but</w:t>
      </w:r>
      <w:r w:rsidR="006A0005" w:rsidRPr="006A0005">
        <w:rPr>
          <w:rFonts w:ascii="Times New Roman" w:eastAsia="TimesNRMTPro" w:hAnsi="Times New Roman"/>
          <w:szCs w:val="24"/>
          <w:lang w:val="en-GB"/>
        </w:rPr>
        <w:t xml:space="preserve"> </w:t>
      </w:r>
      <w:r w:rsidR="006A0005">
        <w:rPr>
          <w:rFonts w:ascii="Times New Roman" w:eastAsia="TimesNRMTPro" w:hAnsi="Times New Roman"/>
          <w:szCs w:val="24"/>
          <w:lang w:val="en-GB"/>
        </w:rPr>
        <w:t>the secondary market for sukuk is very thin and</w:t>
      </w:r>
      <w:r w:rsidR="00A2174D">
        <w:rPr>
          <w:rFonts w:ascii="Times New Roman" w:eastAsia="TimesNRMTPro" w:hAnsi="Times New Roman"/>
          <w:szCs w:val="24"/>
          <w:lang w:val="en-GB"/>
        </w:rPr>
        <w:t xml:space="preserve"> supervisors would have to decide which sukuk</w:t>
      </w:r>
      <w:r w:rsidR="006A0005">
        <w:rPr>
          <w:rFonts w:ascii="Times New Roman" w:eastAsia="TimesNRMTPro" w:hAnsi="Times New Roman"/>
          <w:szCs w:val="24"/>
          <w:lang w:val="en-GB"/>
        </w:rPr>
        <w:t xml:space="preserve"> </w:t>
      </w:r>
      <w:r w:rsidR="00A2174D">
        <w:rPr>
          <w:rFonts w:ascii="Times New Roman" w:eastAsia="TimesNRMTPro" w:hAnsi="Times New Roman"/>
          <w:szCs w:val="24"/>
          <w:lang w:val="en-GB"/>
        </w:rPr>
        <w:t>should be eligible as a liquidity buffer and on any haircuts to apply.</w:t>
      </w:r>
      <w:r w:rsidR="006A0005">
        <w:rPr>
          <w:rFonts w:ascii="Times New Roman" w:eastAsia="TimesNRMTPro" w:hAnsi="Times New Roman"/>
          <w:szCs w:val="24"/>
          <w:lang w:val="en-GB"/>
        </w:rPr>
        <w:t xml:space="preserve"> </w:t>
      </w:r>
      <w:r w:rsidR="008A285C">
        <w:rPr>
          <w:rFonts w:ascii="Times New Roman" w:eastAsia="TimesNRMTPro" w:hAnsi="Times New Roman"/>
          <w:szCs w:val="24"/>
          <w:lang w:val="en-GB"/>
        </w:rPr>
        <w:t xml:space="preserve">Perhaps other banks or the central bank can help Islamic banks with their liquidity management by </w:t>
      </w:r>
      <w:r w:rsidR="008A285C" w:rsidRPr="007E672B">
        <w:rPr>
          <w:rFonts w:ascii="Times New Roman" w:eastAsia="TimesNRMTPro" w:hAnsi="Times New Roman"/>
          <w:szCs w:val="24"/>
          <w:lang w:val="en-GB"/>
        </w:rPr>
        <w:t>offering tawarruq</w:t>
      </w:r>
      <w:r w:rsidR="008A285C">
        <w:rPr>
          <w:rFonts w:ascii="Times New Roman" w:eastAsia="TimesNRMTPro" w:hAnsi="Times New Roman"/>
          <w:szCs w:val="24"/>
          <w:lang w:val="en-GB"/>
        </w:rPr>
        <w:t xml:space="preserve"> and </w:t>
      </w:r>
      <w:r w:rsidR="008A285C" w:rsidRPr="007E672B">
        <w:rPr>
          <w:rFonts w:ascii="Times New Roman" w:eastAsia="TimesNRMTPro" w:hAnsi="Times New Roman"/>
          <w:szCs w:val="24"/>
          <w:lang w:val="en-GB"/>
        </w:rPr>
        <w:t>reverse tawarruq</w:t>
      </w:r>
      <w:r w:rsidR="008A285C">
        <w:rPr>
          <w:rFonts w:ascii="Times New Roman" w:eastAsia="TimesNRMTPro" w:hAnsi="Times New Roman"/>
          <w:szCs w:val="24"/>
          <w:lang w:val="en-GB"/>
        </w:rPr>
        <w:t xml:space="preserve"> facilities</w:t>
      </w:r>
      <w:r w:rsidR="00FA4081">
        <w:rPr>
          <w:rFonts w:ascii="Times New Roman" w:eastAsia="TimesNRMTPro" w:hAnsi="Times New Roman"/>
          <w:szCs w:val="24"/>
          <w:lang w:val="en-GB"/>
        </w:rPr>
        <w:t xml:space="preserve">, like the central bank of the </w:t>
      </w:r>
      <w:r w:rsidR="00D83F47">
        <w:rPr>
          <w:rFonts w:ascii="Times New Roman" w:eastAsia="TimesNRMTPro" w:hAnsi="Times New Roman"/>
          <w:szCs w:val="24"/>
          <w:lang w:val="en-GB"/>
        </w:rPr>
        <w:t>UAE</w:t>
      </w:r>
      <w:r w:rsidR="00FA4081">
        <w:rPr>
          <w:rFonts w:ascii="Times New Roman" w:eastAsia="TimesNRMTPro" w:hAnsi="Times New Roman"/>
          <w:szCs w:val="24"/>
          <w:lang w:val="en-GB"/>
        </w:rPr>
        <w:t xml:space="preserve"> does</w:t>
      </w:r>
      <w:r w:rsidR="008A285C">
        <w:rPr>
          <w:rFonts w:ascii="Times New Roman" w:eastAsia="TimesNRMTPro" w:hAnsi="Times New Roman"/>
          <w:szCs w:val="24"/>
          <w:lang w:val="en-GB"/>
        </w:rPr>
        <w:t xml:space="preserve">. A tawarruq </w:t>
      </w:r>
      <w:r w:rsidR="00FA4081">
        <w:rPr>
          <w:rFonts w:ascii="Times New Roman" w:eastAsia="TimesNRMTPro" w:hAnsi="Times New Roman"/>
          <w:szCs w:val="24"/>
          <w:lang w:val="en-GB"/>
        </w:rPr>
        <w:t xml:space="preserve">starts with a </w:t>
      </w:r>
      <w:r w:rsidR="008A285C">
        <w:rPr>
          <w:rFonts w:ascii="Times New Roman" w:eastAsia="TimesNRMTPro" w:hAnsi="Times New Roman"/>
          <w:szCs w:val="24"/>
          <w:lang w:val="en-GB"/>
        </w:rPr>
        <w:t>murabah</w:t>
      </w:r>
      <w:r w:rsidR="006A0005">
        <w:rPr>
          <w:rFonts w:ascii="Times New Roman" w:eastAsia="TimesNRMTPro" w:hAnsi="Times New Roman"/>
          <w:szCs w:val="24"/>
          <w:lang w:val="en-GB"/>
        </w:rPr>
        <w:t>a</w:t>
      </w:r>
      <w:r w:rsidR="008A285C">
        <w:rPr>
          <w:rFonts w:ascii="Times New Roman" w:eastAsia="TimesNRMTPro" w:hAnsi="Times New Roman"/>
          <w:szCs w:val="24"/>
          <w:lang w:val="en-GB"/>
        </w:rPr>
        <w:t xml:space="preserve"> contract including a </w:t>
      </w:r>
      <w:r w:rsidR="007E672B">
        <w:rPr>
          <w:rFonts w:ascii="Times New Roman" w:eastAsia="TimesNRMTPro" w:hAnsi="Times New Roman"/>
          <w:szCs w:val="24"/>
          <w:lang w:val="en-GB"/>
        </w:rPr>
        <w:t>credit sale</w:t>
      </w:r>
      <w:r w:rsidR="008A285C">
        <w:rPr>
          <w:rFonts w:ascii="Times New Roman" w:eastAsia="TimesNRMTPro" w:hAnsi="Times New Roman"/>
          <w:szCs w:val="24"/>
          <w:lang w:val="en-GB"/>
        </w:rPr>
        <w:t xml:space="preserve">. The financier, bank B, buys a good, sells it to the </w:t>
      </w:r>
      <w:r w:rsidR="006A0005">
        <w:rPr>
          <w:rFonts w:ascii="Times New Roman" w:eastAsia="TimesNRMTPro" w:hAnsi="Times New Roman"/>
          <w:szCs w:val="24"/>
          <w:lang w:val="en-GB"/>
        </w:rPr>
        <w:t>customer</w:t>
      </w:r>
      <w:r w:rsidR="008A285C">
        <w:rPr>
          <w:rFonts w:ascii="Times New Roman" w:eastAsia="TimesNRMTPro" w:hAnsi="Times New Roman"/>
          <w:szCs w:val="24"/>
          <w:lang w:val="en-GB"/>
        </w:rPr>
        <w:t>, in this case the bank needing cash, bank A, against deferred payment and with a markup</w:t>
      </w:r>
      <w:r w:rsidR="00FA4081">
        <w:rPr>
          <w:rFonts w:ascii="Times New Roman" w:eastAsia="TimesNRMTPro" w:hAnsi="Times New Roman"/>
          <w:szCs w:val="24"/>
          <w:lang w:val="en-GB"/>
        </w:rPr>
        <w:t xml:space="preserve">. Next, </w:t>
      </w:r>
      <w:r w:rsidR="008A285C">
        <w:rPr>
          <w:rFonts w:ascii="Times New Roman" w:eastAsia="TimesNRMTPro" w:hAnsi="Times New Roman"/>
          <w:szCs w:val="24"/>
          <w:lang w:val="en-GB"/>
        </w:rPr>
        <w:t>bank A, or bank B as its agent, sells the good agains imme</w:t>
      </w:r>
      <w:r w:rsidR="008A5C20">
        <w:rPr>
          <w:rFonts w:ascii="Times New Roman" w:eastAsia="TimesNRMTPro" w:hAnsi="Times New Roman"/>
          <w:szCs w:val="24"/>
          <w:lang w:val="en-GB"/>
        </w:rPr>
        <w:t>diate payment</w:t>
      </w:r>
      <w:r w:rsidR="006A0005">
        <w:rPr>
          <w:rFonts w:ascii="Times New Roman" w:eastAsia="TimesNRMTPro" w:hAnsi="Times New Roman"/>
          <w:szCs w:val="24"/>
          <w:lang w:val="en-GB"/>
        </w:rPr>
        <w:t xml:space="preserve"> to a third party</w:t>
      </w:r>
      <w:r w:rsidR="008A285C">
        <w:rPr>
          <w:rFonts w:ascii="Times New Roman" w:eastAsia="TimesNRMTPro" w:hAnsi="Times New Roman"/>
          <w:szCs w:val="24"/>
          <w:lang w:val="en-GB"/>
        </w:rPr>
        <w:t xml:space="preserve">. Such transactions usually involve </w:t>
      </w:r>
      <w:r w:rsidR="007E672B">
        <w:rPr>
          <w:rFonts w:ascii="Times New Roman" w:eastAsia="TimesNRMTPro" w:hAnsi="Times New Roman"/>
          <w:szCs w:val="24"/>
          <w:lang w:val="en-GB"/>
        </w:rPr>
        <w:t xml:space="preserve">platinum or aluminium </w:t>
      </w:r>
      <w:r w:rsidR="001B4E66">
        <w:rPr>
          <w:rFonts w:ascii="Times New Roman" w:eastAsia="TimesNRMTPro" w:hAnsi="Times New Roman"/>
          <w:szCs w:val="24"/>
          <w:lang w:val="en-GB"/>
        </w:rPr>
        <w:t xml:space="preserve">contracts </w:t>
      </w:r>
      <w:r w:rsidR="008A285C">
        <w:rPr>
          <w:rFonts w:ascii="Times New Roman" w:eastAsia="TimesNRMTPro" w:hAnsi="Times New Roman"/>
          <w:szCs w:val="24"/>
          <w:lang w:val="en-GB"/>
        </w:rPr>
        <w:t>on the London Metal Exchange or</w:t>
      </w:r>
      <w:r w:rsidR="007E672B">
        <w:rPr>
          <w:rFonts w:ascii="Times New Roman" w:eastAsia="TimesNRMTPro" w:hAnsi="Times New Roman"/>
          <w:szCs w:val="24"/>
          <w:lang w:val="en-GB"/>
        </w:rPr>
        <w:t xml:space="preserve"> palm oil contract</w:t>
      </w:r>
      <w:r w:rsidR="008A285C">
        <w:rPr>
          <w:rFonts w:ascii="Times New Roman" w:eastAsia="TimesNRMTPro" w:hAnsi="Times New Roman"/>
          <w:szCs w:val="24"/>
          <w:lang w:val="en-GB"/>
        </w:rPr>
        <w:t xml:space="preserve"> on the Kuala Lumpur </w:t>
      </w:r>
      <w:r w:rsidR="007E672B">
        <w:rPr>
          <w:rFonts w:ascii="Times New Roman" w:eastAsia="TimesNRMTPro" w:hAnsi="Times New Roman"/>
          <w:szCs w:val="24"/>
          <w:lang w:val="en-GB"/>
        </w:rPr>
        <w:t>Commodities</w:t>
      </w:r>
      <w:r w:rsidR="008A285C">
        <w:rPr>
          <w:rFonts w:ascii="Times New Roman" w:eastAsia="TimesNRMTPro" w:hAnsi="Times New Roman"/>
          <w:szCs w:val="24"/>
          <w:lang w:val="en-GB"/>
        </w:rPr>
        <w:t xml:space="preserve"> </w:t>
      </w:r>
      <w:r w:rsidR="007E672B">
        <w:rPr>
          <w:rFonts w:ascii="Times New Roman" w:eastAsia="TimesNRMTPro" w:hAnsi="Times New Roman"/>
          <w:szCs w:val="24"/>
          <w:lang w:val="en-GB"/>
        </w:rPr>
        <w:t>E</w:t>
      </w:r>
      <w:r w:rsidR="008A285C">
        <w:rPr>
          <w:rFonts w:ascii="Times New Roman" w:eastAsia="TimesNRMTPro" w:hAnsi="Times New Roman"/>
          <w:szCs w:val="24"/>
          <w:lang w:val="en-GB"/>
        </w:rPr>
        <w:t xml:space="preserve">xchange, as </w:t>
      </w:r>
      <w:r w:rsidR="008A5C20">
        <w:rPr>
          <w:rFonts w:ascii="Times New Roman" w:eastAsia="TimesNRMTPro" w:hAnsi="Times New Roman"/>
          <w:szCs w:val="24"/>
          <w:lang w:val="en-GB"/>
        </w:rPr>
        <w:t xml:space="preserve">such </w:t>
      </w:r>
      <w:r w:rsidR="008A285C">
        <w:rPr>
          <w:rFonts w:ascii="Times New Roman" w:eastAsia="TimesNRMTPro" w:hAnsi="Times New Roman"/>
          <w:szCs w:val="24"/>
          <w:lang w:val="en-GB"/>
        </w:rPr>
        <w:t>transactions can be made very quickly at low cost and with little risk of price fluctuations. If bank A want</w:t>
      </w:r>
      <w:r w:rsidR="00D16348">
        <w:rPr>
          <w:rFonts w:ascii="Times New Roman" w:eastAsia="TimesNRMTPro" w:hAnsi="Times New Roman"/>
          <w:szCs w:val="24"/>
          <w:lang w:val="en-GB"/>
        </w:rPr>
        <w:t>s</w:t>
      </w:r>
      <w:r w:rsidR="008A285C">
        <w:rPr>
          <w:rFonts w:ascii="Times New Roman" w:eastAsia="TimesNRMTPro" w:hAnsi="Times New Roman"/>
          <w:szCs w:val="24"/>
          <w:lang w:val="en-GB"/>
        </w:rPr>
        <w:t xml:space="preserve"> to deposit money it works the other way, with a reverse tawarruq. Bank A buys, as agent for bank B, a </w:t>
      </w:r>
      <w:r w:rsidR="007E672B">
        <w:rPr>
          <w:rFonts w:ascii="Times New Roman" w:eastAsia="TimesNRMTPro" w:hAnsi="Times New Roman"/>
          <w:szCs w:val="24"/>
          <w:lang w:val="en-GB"/>
        </w:rPr>
        <w:t>commodity</w:t>
      </w:r>
      <w:r w:rsidR="008A285C">
        <w:rPr>
          <w:rFonts w:ascii="Times New Roman" w:eastAsia="TimesNRMTPro" w:hAnsi="Times New Roman"/>
          <w:szCs w:val="24"/>
          <w:lang w:val="en-GB"/>
        </w:rPr>
        <w:t xml:space="preserve"> contract against immediate payment, sells it to ban</w:t>
      </w:r>
      <w:r w:rsidR="007E672B">
        <w:rPr>
          <w:rFonts w:ascii="Times New Roman" w:eastAsia="TimesNRMTPro" w:hAnsi="Times New Roman"/>
          <w:szCs w:val="24"/>
          <w:lang w:val="en-GB"/>
        </w:rPr>
        <w:t>k B with a markup</w:t>
      </w:r>
      <w:r w:rsidR="008A285C">
        <w:rPr>
          <w:rFonts w:ascii="Times New Roman" w:eastAsia="TimesNRMTPro" w:hAnsi="Times New Roman"/>
          <w:szCs w:val="24"/>
          <w:lang w:val="en-GB"/>
        </w:rPr>
        <w:t xml:space="preserve"> against deferred payment, and next sells it </w:t>
      </w:r>
      <w:r w:rsidR="007E672B">
        <w:rPr>
          <w:rFonts w:ascii="Times New Roman" w:eastAsia="TimesNRMTPro" w:hAnsi="Times New Roman"/>
          <w:szCs w:val="24"/>
          <w:lang w:val="en-GB"/>
        </w:rPr>
        <w:t>as agent of bank B on the commodities</w:t>
      </w:r>
      <w:r w:rsidR="008A285C">
        <w:rPr>
          <w:rFonts w:ascii="Times New Roman" w:eastAsia="TimesNRMTPro" w:hAnsi="Times New Roman"/>
          <w:szCs w:val="24"/>
          <w:lang w:val="en-GB"/>
        </w:rPr>
        <w:t xml:space="preserve"> exchange. Bank B receives the revenue of the sale. The result is that A after a number of months will receive a larger sum from bank B than it has paid for the metals contract, comparable with a conventional time deposit.</w:t>
      </w:r>
    </w:p>
    <w:p w:rsidR="008A285C" w:rsidRDefault="008A285C" w:rsidP="008A285C">
      <w:pPr>
        <w:spacing w:line="288" w:lineRule="auto"/>
        <w:rPr>
          <w:rFonts w:ascii="Times New Roman" w:eastAsia="TimesNRMTPro" w:hAnsi="Times New Roman"/>
          <w:szCs w:val="24"/>
          <w:lang w:val="en-GB"/>
        </w:rPr>
      </w:pPr>
    </w:p>
    <w:p w:rsidR="006C37A5" w:rsidRDefault="007E672B" w:rsidP="008A285C">
      <w:pPr>
        <w:spacing w:line="288" w:lineRule="auto"/>
        <w:rPr>
          <w:rFonts w:ascii="Times New Roman" w:eastAsia="TimesNRMTPro" w:hAnsi="Times New Roman"/>
          <w:b/>
          <w:szCs w:val="24"/>
          <w:lang w:val="en-GB"/>
        </w:rPr>
      </w:pPr>
      <w:r w:rsidRPr="007E672B">
        <w:rPr>
          <w:rFonts w:ascii="Times New Roman" w:eastAsia="TimesNRMTPro" w:hAnsi="Times New Roman"/>
          <w:b/>
          <w:szCs w:val="24"/>
          <w:lang w:val="en-GB"/>
        </w:rPr>
        <w:t>8.</w:t>
      </w:r>
      <w:r w:rsidR="000C498A">
        <w:rPr>
          <w:rFonts w:ascii="Times New Roman" w:eastAsia="TimesNRMTPro" w:hAnsi="Times New Roman"/>
          <w:b/>
          <w:szCs w:val="24"/>
          <w:lang w:val="en-GB"/>
        </w:rPr>
        <w:t xml:space="preserve"> Accouting rules</w:t>
      </w:r>
    </w:p>
    <w:p w:rsidR="000C498A" w:rsidRPr="000C498A" w:rsidRDefault="000C498A" w:rsidP="008A285C">
      <w:pPr>
        <w:spacing w:line="288" w:lineRule="auto"/>
        <w:rPr>
          <w:rFonts w:ascii="Times New Roman" w:eastAsia="TimesNRMTPro" w:hAnsi="Times New Roman"/>
          <w:bCs/>
          <w:szCs w:val="24"/>
          <w:lang w:val="en-GB"/>
        </w:rPr>
      </w:pPr>
      <w:r w:rsidRPr="000C498A">
        <w:rPr>
          <w:rFonts w:ascii="Times New Roman" w:eastAsia="TimesNRMTPro" w:hAnsi="Times New Roman"/>
          <w:bCs/>
          <w:szCs w:val="24"/>
          <w:lang w:val="en-GB"/>
        </w:rPr>
        <w:t xml:space="preserve">(i) </w:t>
      </w:r>
      <w:r>
        <w:rPr>
          <w:rFonts w:ascii="Times New Roman" w:eastAsia="TimesNRMTPro" w:hAnsi="Times New Roman"/>
          <w:szCs w:val="24"/>
          <w:lang w:val="en-US"/>
        </w:rPr>
        <w:t>IFRS 9, which will be implemented from next January, requires lenders to book expected losses in advance, but under AAOIFI rules only incurred losses are recognised</w:t>
      </w:r>
      <w:r w:rsidR="00A2464A">
        <w:rPr>
          <w:rFonts w:ascii="Times New Roman" w:eastAsia="TimesNRMTPro" w:hAnsi="Times New Roman"/>
          <w:szCs w:val="24"/>
          <w:lang w:val="en-US"/>
        </w:rPr>
        <w:t xml:space="preserve"> (Vizcaino 2016)</w:t>
      </w:r>
      <w:r>
        <w:rPr>
          <w:rFonts w:ascii="Times New Roman" w:eastAsia="TimesNRMTPro" w:hAnsi="Times New Roman"/>
          <w:szCs w:val="24"/>
          <w:lang w:val="en-US"/>
        </w:rPr>
        <w:t>. A</w:t>
      </w:r>
      <w:r>
        <w:rPr>
          <w:rFonts w:ascii="Times New Roman" w:eastAsia="TimesNRMTPro" w:hAnsi="Times New Roman"/>
          <w:caps/>
          <w:szCs w:val="24"/>
          <w:lang w:val="en-US"/>
        </w:rPr>
        <w:t xml:space="preserve">AOIFI’s </w:t>
      </w:r>
      <w:r>
        <w:rPr>
          <w:rFonts w:ascii="Times New Roman" w:eastAsia="TimesNRMTPro" w:hAnsi="Times New Roman"/>
          <w:szCs w:val="24"/>
          <w:lang w:val="en-US"/>
        </w:rPr>
        <w:t>Revised  FAS 30 however provides for allowances for expected credit losses to be charged to the income statement. Par. 58: Allowances for credit losses shall be shown on the balance sheet as a deduction from the respective asset. (AAOIFI 2017)</w:t>
      </w:r>
    </w:p>
    <w:p w:rsidR="000C498A" w:rsidRPr="007E672B" w:rsidRDefault="000C498A" w:rsidP="008A285C">
      <w:pPr>
        <w:spacing w:line="288" w:lineRule="auto"/>
        <w:rPr>
          <w:rFonts w:ascii="Times New Roman" w:eastAsia="TimesNRMTPro" w:hAnsi="Times New Roman"/>
          <w:b/>
          <w:szCs w:val="24"/>
          <w:lang w:val="en-GB"/>
        </w:rPr>
      </w:pPr>
    </w:p>
    <w:p w:rsidR="00E87B43" w:rsidRPr="000C498A" w:rsidRDefault="000C498A" w:rsidP="000C498A">
      <w:pPr>
        <w:spacing w:line="288" w:lineRule="auto"/>
        <w:rPr>
          <w:rFonts w:ascii="Times New Roman" w:eastAsia="TimesNRMTPro" w:hAnsi="Times New Roman"/>
          <w:szCs w:val="24"/>
          <w:lang w:val="en-GB"/>
        </w:rPr>
      </w:pPr>
      <w:r>
        <w:rPr>
          <w:rFonts w:ascii="Times New Roman" w:eastAsia="TimesNRMTPro" w:hAnsi="Times New Roman"/>
          <w:szCs w:val="24"/>
          <w:lang w:val="en-GB"/>
        </w:rPr>
        <w:t>(ii)</w:t>
      </w:r>
      <w:r w:rsidR="00E87B43" w:rsidRPr="000C498A">
        <w:rPr>
          <w:rFonts w:ascii="Times New Roman" w:eastAsia="TimesNRMTPro" w:hAnsi="Times New Roman"/>
          <w:szCs w:val="24"/>
          <w:lang w:val="en-GB"/>
        </w:rPr>
        <w:t>Under single regulation of the financial industry a solution must be found for potentially conflicting rules with regard to the Islamic finance lease, or ijara muntahia bi</w:t>
      </w:r>
      <w:r w:rsidR="00B34061" w:rsidRPr="000C498A">
        <w:rPr>
          <w:rFonts w:ascii="Times New Roman" w:eastAsia="TimesNRMTPro" w:hAnsi="Times New Roman"/>
          <w:szCs w:val="24"/>
          <w:lang w:val="en-GB"/>
        </w:rPr>
        <w:t>t</w:t>
      </w:r>
      <w:r w:rsidR="00E87B43" w:rsidRPr="000C498A">
        <w:rPr>
          <w:rFonts w:ascii="Times New Roman" w:eastAsia="TimesNRMTPro" w:hAnsi="Times New Roman"/>
          <w:szCs w:val="24"/>
          <w:lang w:val="en-GB"/>
        </w:rPr>
        <w:t xml:space="preserve">tamleek. </w:t>
      </w:r>
      <w:r w:rsidR="00794795" w:rsidRPr="000C498A">
        <w:rPr>
          <w:rFonts w:ascii="Times New Roman" w:eastAsia="TimesNRMTPro" w:hAnsi="Times New Roman"/>
          <w:szCs w:val="24"/>
          <w:lang w:val="en-GB"/>
        </w:rPr>
        <w:t>A general difference between ijara</w:t>
      </w:r>
      <w:r w:rsidR="00794795" w:rsidRPr="000C498A">
        <w:rPr>
          <w:rFonts w:ascii="Times New Roman" w:eastAsia="TimesNRMTPro" w:hAnsi="Times New Roman"/>
          <w:i/>
          <w:szCs w:val="24"/>
          <w:lang w:val="en-GB"/>
        </w:rPr>
        <w:t xml:space="preserve"> </w:t>
      </w:r>
      <w:r w:rsidR="00794795" w:rsidRPr="000C498A">
        <w:rPr>
          <w:rFonts w:ascii="Times New Roman" w:eastAsia="TimesNRMTPro" w:hAnsi="Times New Roman"/>
          <w:szCs w:val="24"/>
          <w:lang w:val="en-GB"/>
        </w:rPr>
        <w:t xml:space="preserve">and a conventional lease is that under an ijara contract the lessor is responsible for maintenance, whereas a conventional lease leaves maintenance to the lessee. </w:t>
      </w:r>
      <w:r w:rsidR="00E87B43" w:rsidRPr="000C498A">
        <w:rPr>
          <w:rFonts w:ascii="Times New Roman" w:eastAsia="TimesNRMTPro" w:hAnsi="Times New Roman"/>
          <w:szCs w:val="24"/>
          <w:lang w:val="en-GB"/>
        </w:rPr>
        <w:t>Islamic financial institutions may be inclined to follow FAS-8</w:t>
      </w:r>
      <w:r w:rsidR="00D40752" w:rsidRPr="000C498A">
        <w:rPr>
          <w:rFonts w:ascii="Times New Roman" w:eastAsia="TimesNRMTPro" w:hAnsi="Times New Roman"/>
          <w:szCs w:val="24"/>
          <w:lang w:val="en-GB"/>
        </w:rPr>
        <w:t>, or Financial Accounting Standard 8 of AAO</w:t>
      </w:r>
      <w:r w:rsidR="003E4933" w:rsidRPr="000C498A">
        <w:rPr>
          <w:rFonts w:ascii="Times New Roman" w:eastAsia="TimesNRMTPro" w:hAnsi="Times New Roman"/>
          <w:szCs w:val="24"/>
          <w:lang w:val="en-GB"/>
        </w:rPr>
        <w:t>I</w:t>
      </w:r>
      <w:r w:rsidR="00D40752" w:rsidRPr="000C498A">
        <w:rPr>
          <w:rFonts w:ascii="Times New Roman" w:eastAsia="TimesNRMTPro" w:hAnsi="Times New Roman"/>
          <w:szCs w:val="24"/>
          <w:lang w:val="en-GB"/>
        </w:rPr>
        <w:t>FI, whereas Western regulators take the</w:t>
      </w:r>
      <w:r w:rsidR="00623C0A" w:rsidRPr="000C498A">
        <w:rPr>
          <w:rFonts w:ascii="Times New Roman" w:eastAsia="TimesNRMTPro" w:hAnsi="Times New Roman"/>
          <w:szCs w:val="24"/>
          <w:lang w:val="en-GB"/>
        </w:rPr>
        <w:t xml:space="preserve">ir cue from IAS-17 of the </w:t>
      </w:r>
      <w:r w:rsidR="00D40752" w:rsidRPr="000C498A">
        <w:rPr>
          <w:rFonts w:ascii="Times New Roman" w:eastAsia="TimesNRMTPro" w:hAnsi="Times New Roman"/>
          <w:szCs w:val="24"/>
          <w:lang w:val="en-GB"/>
        </w:rPr>
        <w:t>Internati</w:t>
      </w:r>
      <w:r w:rsidR="00623C0A" w:rsidRPr="000C498A">
        <w:rPr>
          <w:rFonts w:ascii="Times New Roman" w:eastAsia="TimesNRMTPro" w:hAnsi="Times New Roman"/>
          <w:szCs w:val="24"/>
          <w:lang w:val="en-GB"/>
        </w:rPr>
        <w:t>onal Accounting Standards Board  (IASB)</w:t>
      </w:r>
      <w:r w:rsidR="00D40752" w:rsidRPr="000C498A">
        <w:rPr>
          <w:rFonts w:ascii="Times New Roman" w:eastAsia="TimesNRMTPro" w:hAnsi="Times New Roman"/>
          <w:szCs w:val="24"/>
          <w:lang w:val="en-GB"/>
        </w:rPr>
        <w:t>. There are var</w:t>
      </w:r>
      <w:r w:rsidR="00415EF1" w:rsidRPr="000C498A">
        <w:rPr>
          <w:rFonts w:ascii="Times New Roman" w:eastAsia="TimesNRMTPro" w:hAnsi="Times New Roman"/>
          <w:szCs w:val="24"/>
          <w:lang w:val="en-GB"/>
        </w:rPr>
        <w:t xml:space="preserve">ious differences between </w:t>
      </w:r>
      <w:r w:rsidR="00D16348" w:rsidRPr="000C498A">
        <w:rPr>
          <w:rFonts w:ascii="Times New Roman" w:eastAsia="TimesNRMTPro" w:hAnsi="Times New Roman"/>
          <w:szCs w:val="24"/>
          <w:lang w:val="en-GB"/>
        </w:rPr>
        <w:t xml:space="preserve">IAS-17 and </w:t>
      </w:r>
      <w:r w:rsidR="00415EF1" w:rsidRPr="000C498A">
        <w:rPr>
          <w:rFonts w:ascii="Times New Roman" w:eastAsia="TimesNRMTPro" w:hAnsi="Times New Roman"/>
          <w:szCs w:val="24"/>
          <w:lang w:val="en-GB"/>
        </w:rPr>
        <w:t xml:space="preserve">FAS-8 </w:t>
      </w:r>
      <w:r w:rsidR="001968BB" w:rsidRPr="000C498A">
        <w:rPr>
          <w:rFonts w:ascii="Times New Roman" w:eastAsia="TimesNRMTPro" w:hAnsi="Times New Roman"/>
          <w:szCs w:val="24"/>
          <w:lang w:val="en-GB"/>
        </w:rPr>
        <w:t>(</w:t>
      </w:r>
      <w:r w:rsidR="00AA75D5" w:rsidRPr="000C498A">
        <w:rPr>
          <w:rFonts w:ascii="Times New Roman" w:eastAsia="TimesNRMTPro" w:hAnsi="Times New Roman"/>
          <w:szCs w:val="24"/>
          <w:lang w:val="en-GB"/>
        </w:rPr>
        <w:t xml:space="preserve">AOSSG, 2015; </w:t>
      </w:r>
      <w:r w:rsidR="001968BB" w:rsidRPr="000C498A">
        <w:rPr>
          <w:rFonts w:ascii="Times New Roman" w:eastAsia="TimesNRMTPro" w:hAnsi="Times New Roman"/>
          <w:szCs w:val="24"/>
          <w:lang w:val="en-GB"/>
        </w:rPr>
        <w:t>Hanif</w:t>
      </w:r>
      <w:r w:rsidR="00AA75D5" w:rsidRPr="000C498A">
        <w:rPr>
          <w:rFonts w:ascii="Times New Roman" w:eastAsia="TimesNRMTPro" w:hAnsi="Times New Roman"/>
          <w:szCs w:val="24"/>
          <w:lang w:val="en-GB"/>
        </w:rPr>
        <w:t>,</w:t>
      </w:r>
      <w:r w:rsidR="001968BB" w:rsidRPr="000C498A">
        <w:rPr>
          <w:rFonts w:ascii="Times New Roman" w:eastAsia="TimesNRMTPro" w:hAnsi="Times New Roman"/>
          <w:szCs w:val="24"/>
          <w:lang w:val="en-GB"/>
        </w:rPr>
        <w:t xml:space="preserve"> 2016)</w:t>
      </w:r>
      <w:r w:rsidR="00415EF1" w:rsidRPr="000C498A">
        <w:rPr>
          <w:rFonts w:ascii="Times New Roman" w:eastAsia="TimesNRMTPro" w:hAnsi="Times New Roman"/>
          <w:szCs w:val="24"/>
          <w:lang w:val="en-GB"/>
        </w:rPr>
        <w:t xml:space="preserve">. </w:t>
      </w:r>
      <w:r w:rsidR="00AB5E81" w:rsidRPr="000C498A">
        <w:rPr>
          <w:rFonts w:ascii="Times New Roman" w:eastAsia="TimesNRMTPro" w:hAnsi="Times New Roman"/>
          <w:szCs w:val="24"/>
          <w:lang w:val="en-GB"/>
        </w:rPr>
        <w:t xml:space="preserve">To cite a few, </w:t>
      </w:r>
      <w:r w:rsidR="00794795" w:rsidRPr="000C498A">
        <w:rPr>
          <w:rFonts w:ascii="Times New Roman" w:eastAsia="TimesNRMTPro" w:hAnsi="Times New Roman"/>
          <w:szCs w:val="24"/>
          <w:lang w:val="en-GB"/>
        </w:rPr>
        <w:t>IAS-17 recommends fair value</w:t>
      </w:r>
      <w:r w:rsidR="00D16348" w:rsidRPr="000C498A">
        <w:rPr>
          <w:rFonts w:ascii="Times New Roman" w:eastAsia="TimesNRMTPro" w:hAnsi="Times New Roman"/>
          <w:szCs w:val="24"/>
          <w:lang w:val="en-GB"/>
        </w:rPr>
        <w:t xml:space="preserve"> while under FAS-8 assets are recorded at historical cost at commencement of the lease term</w:t>
      </w:r>
      <w:r w:rsidR="00794795" w:rsidRPr="000C498A">
        <w:rPr>
          <w:rFonts w:ascii="Times New Roman" w:eastAsia="TimesNRMTPro" w:hAnsi="Times New Roman"/>
          <w:szCs w:val="24"/>
          <w:lang w:val="en-GB"/>
        </w:rPr>
        <w:t xml:space="preserve">. </w:t>
      </w:r>
      <w:r w:rsidR="00315618" w:rsidRPr="000C498A">
        <w:rPr>
          <w:rFonts w:ascii="Times New Roman" w:eastAsia="TimesNRMTPro" w:hAnsi="Times New Roman"/>
          <w:szCs w:val="24"/>
          <w:lang w:val="en-GB"/>
        </w:rPr>
        <w:t xml:space="preserve">Under a finance lease </w:t>
      </w:r>
      <w:r w:rsidR="00D16348" w:rsidRPr="000C498A">
        <w:rPr>
          <w:rFonts w:ascii="Times New Roman" w:eastAsia="TimesNRMTPro" w:hAnsi="Times New Roman"/>
          <w:szCs w:val="24"/>
          <w:lang w:val="en-GB"/>
        </w:rPr>
        <w:t>I</w:t>
      </w:r>
      <w:r w:rsidR="00AB5E81" w:rsidRPr="000C498A">
        <w:rPr>
          <w:rFonts w:ascii="Times New Roman" w:eastAsia="TimesNRMTPro" w:hAnsi="Times New Roman"/>
          <w:szCs w:val="24"/>
          <w:lang w:val="en-GB"/>
        </w:rPr>
        <w:t>AS-</w:t>
      </w:r>
      <w:r w:rsidR="00D16348" w:rsidRPr="000C498A">
        <w:rPr>
          <w:rFonts w:ascii="Times New Roman" w:eastAsia="TimesNRMTPro" w:hAnsi="Times New Roman"/>
          <w:szCs w:val="24"/>
          <w:lang w:val="en-GB"/>
        </w:rPr>
        <w:t>17</w:t>
      </w:r>
      <w:r w:rsidR="00AB5E81" w:rsidRPr="000C498A">
        <w:rPr>
          <w:rFonts w:ascii="Times New Roman" w:eastAsia="TimesNRMTPro" w:hAnsi="Times New Roman"/>
          <w:szCs w:val="24"/>
          <w:lang w:val="en-GB"/>
        </w:rPr>
        <w:t xml:space="preserve"> </w:t>
      </w:r>
      <w:r w:rsidR="00315618" w:rsidRPr="000C498A">
        <w:rPr>
          <w:rFonts w:ascii="Times New Roman" w:eastAsia="TimesNRMTPro" w:hAnsi="Times New Roman"/>
          <w:szCs w:val="24"/>
          <w:lang w:val="en-GB"/>
        </w:rPr>
        <w:t xml:space="preserve">has </w:t>
      </w:r>
      <w:r w:rsidR="00AB5E81" w:rsidRPr="000C498A">
        <w:rPr>
          <w:rFonts w:ascii="Times New Roman" w:eastAsia="TimesNRMTPro" w:hAnsi="Times New Roman"/>
          <w:szCs w:val="24"/>
          <w:lang w:val="en-GB"/>
        </w:rPr>
        <w:t>an asset recorded in the books of the lessor</w:t>
      </w:r>
      <w:r w:rsidR="00315618" w:rsidRPr="000C498A">
        <w:rPr>
          <w:rFonts w:ascii="Times New Roman" w:eastAsia="TimesNRMTPro" w:hAnsi="Times New Roman"/>
          <w:szCs w:val="24"/>
          <w:lang w:val="en-GB"/>
        </w:rPr>
        <w:t xml:space="preserve"> as</w:t>
      </w:r>
      <w:r w:rsidR="00D16348" w:rsidRPr="000C498A">
        <w:rPr>
          <w:rFonts w:ascii="Times New Roman" w:eastAsia="TimesNRMTPro" w:hAnsi="Times New Roman"/>
          <w:szCs w:val="24"/>
          <w:lang w:val="en-GB"/>
        </w:rPr>
        <w:t xml:space="preserve"> </w:t>
      </w:r>
      <w:bookmarkStart w:id="2" w:name="_Hlk499815483"/>
      <w:r w:rsidR="00D16348" w:rsidRPr="000C498A">
        <w:rPr>
          <w:rFonts w:ascii="Times New Roman" w:eastAsia="TimesNRMTPro" w:hAnsi="Times New Roman"/>
          <w:szCs w:val="24"/>
          <w:lang w:val="en-GB"/>
        </w:rPr>
        <w:t>Receivables, as if it is sold</w:t>
      </w:r>
      <w:r w:rsidR="00E14AB8" w:rsidRPr="000C498A">
        <w:rPr>
          <w:rFonts w:ascii="Times New Roman" w:eastAsia="TimesNRMTPro" w:hAnsi="Times New Roman"/>
          <w:szCs w:val="24"/>
          <w:lang w:val="en-GB"/>
        </w:rPr>
        <w:t>,</w:t>
      </w:r>
      <w:r w:rsidR="00315618" w:rsidRPr="000C498A">
        <w:rPr>
          <w:rFonts w:ascii="Times New Roman" w:eastAsia="TimesNRMTPro" w:hAnsi="Times New Roman"/>
          <w:szCs w:val="24"/>
          <w:lang w:val="en-GB"/>
        </w:rPr>
        <w:t xml:space="preserve"> but </w:t>
      </w:r>
      <w:r w:rsidR="00AB5E81" w:rsidRPr="000C498A">
        <w:rPr>
          <w:rFonts w:ascii="Times New Roman" w:eastAsia="TimesNRMTPro" w:hAnsi="Times New Roman"/>
          <w:szCs w:val="24"/>
          <w:lang w:val="en-GB"/>
        </w:rPr>
        <w:t xml:space="preserve">under </w:t>
      </w:r>
      <w:r w:rsidR="00D16348" w:rsidRPr="000C498A">
        <w:rPr>
          <w:rFonts w:ascii="Times New Roman" w:eastAsia="TimesNRMTPro" w:hAnsi="Times New Roman"/>
          <w:szCs w:val="24"/>
          <w:lang w:val="en-GB"/>
        </w:rPr>
        <w:t>F</w:t>
      </w:r>
      <w:r w:rsidR="00AB5E81" w:rsidRPr="000C498A">
        <w:rPr>
          <w:rFonts w:ascii="Times New Roman" w:eastAsia="TimesNRMTPro" w:hAnsi="Times New Roman"/>
          <w:szCs w:val="24"/>
          <w:lang w:val="en-GB"/>
        </w:rPr>
        <w:t>AS-</w:t>
      </w:r>
      <w:r w:rsidR="00D16348" w:rsidRPr="000C498A">
        <w:rPr>
          <w:rFonts w:ascii="Times New Roman" w:eastAsia="TimesNRMTPro" w:hAnsi="Times New Roman"/>
          <w:szCs w:val="24"/>
          <w:lang w:val="en-GB"/>
        </w:rPr>
        <w:t xml:space="preserve">8 </w:t>
      </w:r>
      <w:r w:rsidR="00315618" w:rsidRPr="000C498A">
        <w:rPr>
          <w:rFonts w:ascii="Times New Roman" w:eastAsia="TimesNRMTPro" w:hAnsi="Times New Roman"/>
          <w:szCs w:val="24"/>
          <w:lang w:val="en-GB"/>
        </w:rPr>
        <w:t>an asset is recorded as</w:t>
      </w:r>
      <w:r w:rsidR="00D16348" w:rsidRPr="000C498A">
        <w:rPr>
          <w:rFonts w:ascii="Times New Roman" w:eastAsia="TimesNRMTPro" w:hAnsi="Times New Roman"/>
          <w:szCs w:val="24"/>
          <w:lang w:val="en-GB"/>
        </w:rPr>
        <w:t xml:space="preserve"> Investment in Ijara Assets</w:t>
      </w:r>
      <w:r w:rsidR="00315618" w:rsidRPr="000C498A">
        <w:rPr>
          <w:rFonts w:ascii="Times New Roman" w:eastAsia="TimesNRMTPro" w:hAnsi="Times New Roman"/>
          <w:szCs w:val="24"/>
          <w:lang w:val="en-GB"/>
        </w:rPr>
        <w:t>.</w:t>
      </w:r>
      <w:r w:rsidR="00173233" w:rsidRPr="000C498A">
        <w:rPr>
          <w:rFonts w:ascii="Times New Roman" w:eastAsia="TimesNRMTPro" w:hAnsi="Times New Roman"/>
          <w:szCs w:val="24"/>
          <w:lang w:val="en-GB"/>
        </w:rPr>
        <w:t xml:space="preserve"> This is because FAS-8 sticks to the form of the contract, which is strictly a lease contract (</w:t>
      </w:r>
      <w:r w:rsidR="00E14AB8" w:rsidRPr="000C498A">
        <w:rPr>
          <w:rFonts w:ascii="Times New Roman" w:eastAsia="TimesNRMTPro" w:hAnsi="Times New Roman"/>
          <w:szCs w:val="24"/>
          <w:lang w:val="en-GB"/>
        </w:rPr>
        <w:t>Islamic law does not allow combining two transactions</w:t>
      </w:r>
      <w:r w:rsidR="00623C0A" w:rsidRPr="000C498A">
        <w:rPr>
          <w:rFonts w:ascii="Times New Roman" w:eastAsia="TimesNRMTPro" w:hAnsi="Times New Roman"/>
          <w:szCs w:val="24"/>
          <w:lang w:val="en-GB"/>
        </w:rPr>
        <w:t>, in this case a lease and a sale,</w:t>
      </w:r>
      <w:r w:rsidR="00E14AB8" w:rsidRPr="000C498A">
        <w:rPr>
          <w:rFonts w:ascii="Times New Roman" w:eastAsia="TimesNRMTPro" w:hAnsi="Times New Roman"/>
          <w:szCs w:val="24"/>
          <w:lang w:val="en-GB"/>
        </w:rPr>
        <w:t xml:space="preserve"> in one contract, it does not even allow conditioning one contract on another</w:t>
      </w:r>
      <w:r w:rsidR="00173233" w:rsidRPr="000C498A">
        <w:rPr>
          <w:rFonts w:ascii="Times New Roman" w:eastAsia="TimesNRMTPro" w:hAnsi="Times New Roman"/>
          <w:szCs w:val="24"/>
          <w:lang w:val="en-GB"/>
        </w:rPr>
        <w:t>), whereas IAS-17 follows a substance-over-form approach and treats a finance lease as if the asset has been purchased by the lessee.</w:t>
      </w:r>
      <w:r w:rsidR="00AB0DF3" w:rsidRPr="000C498A">
        <w:rPr>
          <w:rFonts w:ascii="Times New Roman" w:eastAsia="TimesNRMTPro" w:hAnsi="Times New Roman"/>
          <w:szCs w:val="24"/>
          <w:lang w:val="en-GB"/>
        </w:rPr>
        <w:t xml:space="preserve"> In line with this, FAS-8 treats lease rentals as revenue and depreciation as an expense while IAS-17 has lease rentals allocated between interest earnings</w:t>
      </w:r>
      <w:r w:rsidR="00173233" w:rsidRPr="000C498A">
        <w:rPr>
          <w:rFonts w:ascii="Times New Roman" w:eastAsia="TimesNRMTPro" w:hAnsi="Times New Roman"/>
          <w:szCs w:val="24"/>
          <w:lang w:val="en-GB"/>
        </w:rPr>
        <w:t xml:space="preserve"> and principal.</w:t>
      </w:r>
      <w:r w:rsidR="00B34061" w:rsidRPr="000C498A">
        <w:rPr>
          <w:rFonts w:ascii="Times New Roman" w:eastAsia="TimesNRMTPro" w:hAnsi="Times New Roman"/>
          <w:szCs w:val="24"/>
          <w:lang w:val="en-GB"/>
        </w:rPr>
        <w:t xml:space="preserve"> Thus, FAS-8 has earnings spread evenly over the lease term </w:t>
      </w:r>
      <w:r w:rsidR="00936AB9" w:rsidRPr="000C498A">
        <w:rPr>
          <w:rFonts w:ascii="Times New Roman" w:eastAsia="TimesNRMTPro" w:hAnsi="Times New Roman"/>
          <w:szCs w:val="24"/>
          <w:lang w:val="en-GB"/>
        </w:rPr>
        <w:t xml:space="preserve">but IAS-17 results in higher earnings in earlier years and </w:t>
      </w:r>
      <w:r w:rsidR="00F76201" w:rsidRPr="000C498A">
        <w:rPr>
          <w:rFonts w:ascii="Times New Roman" w:eastAsia="TimesNRMTPro" w:hAnsi="Times New Roman"/>
          <w:szCs w:val="24"/>
          <w:lang w:val="en-GB"/>
        </w:rPr>
        <w:t>lower earnings in later years (the value of Receivables falls in step with the received principal payments</w:t>
      </w:r>
      <w:r w:rsidR="00E14AB8" w:rsidRPr="000C498A">
        <w:rPr>
          <w:rFonts w:ascii="Times New Roman" w:eastAsia="TimesNRMTPro" w:hAnsi="Times New Roman"/>
          <w:szCs w:val="24"/>
          <w:lang w:val="en-GB"/>
        </w:rPr>
        <w:t xml:space="preserve">, </w:t>
      </w:r>
      <w:r w:rsidR="00E254C2" w:rsidRPr="000C498A">
        <w:rPr>
          <w:rFonts w:ascii="Times New Roman" w:eastAsia="TimesNRMTPro" w:hAnsi="Times New Roman"/>
          <w:szCs w:val="24"/>
          <w:lang w:val="en-GB"/>
        </w:rPr>
        <w:t xml:space="preserve">interest earnings consequently fall too and </w:t>
      </w:r>
      <w:r w:rsidR="00E14AB8" w:rsidRPr="000C498A">
        <w:rPr>
          <w:rFonts w:ascii="Times New Roman" w:eastAsia="TimesNRMTPro" w:hAnsi="Times New Roman"/>
          <w:szCs w:val="24"/>
          <w:lang w:val="en-GB"/>
        </w:rPr>
        <w:t xml:space="preserve">a larger part of the rental </w:t>
      </w:r>
      <w:r w:rsidR="00E254C2" w:rsidRPr="000C498A">
        <w:rPr>
          <w:rFonts w:ascii="Times New Roman" w:eastAsia="TimesNRMTPro" w:hAnsi="Times New Roman"/>
          <w:szCs w:val="24"/>
          <w:lang w:val="en-GB"/>
        </w:rPr>
        <w:t xml:space="preserve">is used </w:t>
      </w:r>
      <w:r w:rsidR="00BE45F0" w:rsidRPr="000C498A">
        <w:rPr>
          <w:rFonts w:ascii="Times New Roman" w:eastAsia="TimesNRMTPro" w:hAnsi="Times New Roman"/>
          <w:szCs w:val="24"/>
          <w:lang w:val="en-GB"/>
        </w:rPr>
        <w:t>for amortization</w:t>
      </w:r>
      <w:r w:rsidR="00936AB9" w:rsidRPr="000C498A">
        <w:rPr>
          <w:rFonts w:ascii="Times New Roman" w:eastAsia="TimesNRMTPro" w:hAnsi="Times New Roman"/>
          <w:szCs w:val="24"/>
          <w:lang w:val="en-GB"/>
        </w:rPr>
        <w:t xml:space="preserve">). </w:t>
      </w:r>
      <w:bookmarkEnd w:id="2"/>
      <w:r w:rsidR="00AB0DF3" w:rsidRPr="000C498A">
        <w:rPr>
          <w:rFonts w:ascii="Times New Roman" w:eastAsia="TimesNRMTPro" w:hAnsi="Times New Roman"/>
          <w:szCs w:val="24"/>
          <w:lang w:val="en-GB"/>
        </w:rPr>
        <w:t xml:space="preserve">There are no differences between FAS-8 and IAS-17 in </w:t>
      </w:r>
      <w:r w:rsidR="00E14AB8" w:rsidRPr="000C498A">
        <w:rPr>
          <w:rFonts w:ascii="Times New Roman" w:eastAsia="TimesNRMTPro" w:hAnsi="Times New Roman"/>
          <w:szCs w:val="24"/>
          <w:lang w:val="en-GB"/>
        </w:rPr>
        <w:t xml:space="preserve">the </w:t>
      </w:r>
      <w:r w:rsidR="00AB0DF3" w:rsidRPr="000C498A">
        <w:rPr>
          <w:rFonts w:ascii="Times New Roman" w:eastAsia="TimesNRMTPro" w:hAnsi="Times New Roman"/>
          <w:szCs w:val="24"/>
          <w:lang w:val="en-GB"/>
        </w:rPr>
        <w:t>treatment of operating leases.</w:t>
      </w:r>
      <w:r w:rsidR="00936AB9" w:rsidRPr="000C498A">
        <w:rPr>
          <w:rFonts w:ascii="Times New Roman" w:eastAsia="TimesNRMTPro" w:hAnsi="Times New Roman"/>
          <w:szCs w:val="24"/>
          <w:lang w:val="en-GB"/>
        </w:rPr>
        <w:t xml:space="preserve"> </w:t>
      </w:r>
      <w:bookmarkStart w:id="3" w:name="_Hlk499815585"/>
      <w:r w:rsidR="001852C9" w:rsidRPr="000C498A">
        <w:rPr>
          <w:rFonts w:ascii="Times New Roman" w:eastAsia="TimesNRMTPro" w:hAnsi="Times New Roman"/>
          <w:szCs w:val="24"/>
          <w:lang w:val="en-GB"/>
        </w:rPr>
        <w:t xml:space="preserve">IAS-17 will be replaced by </w:t>
      </w:r>
      <w:r w:rsidR="004F5958" w:rsidRPr="000C498A">
        <w:rPr>
          <w:rFonts w:ascii="Times New Roman" w:hAnsi="Times New Roman"/>
          <w:iCs/>
          <w:lang w:val="en-US"/>
        </w:rPr>
        <w:t>IFRS (International Financial Reporting Standard) 16 as per 1 January, 2019. For the lessor not much changes,</w:t>
      </w:r>
      <w:bookmarkEnd w:id="3"/>
      <w:r w:rsidR="004F5958" w:rsidRPr="000C498A">
        <w:rPr>
          <w:rFonts w:ascii="Times New Roman" w:hAnsi="Times New Roman"/>
          <w:iCs/>
          <w:lang w:val="en-US"/>
        </w:rPr>
        <w:t xml:space="preserve"> but for lessees the differences are substantial. IFRS 16 eliminates the classification of leases as either operating leases or finance leases for a lessee. This means that former off-balance leases now appear on a firm’s balance sheet, with the exception of leases of 12 months or less and leases of inexpensive assets, such as personal computers (</w:t>
      </w:r>
      <w:r w:rsidR="004F5958" w:rsidRPr="000C498A">
        <w:rPr>
          <w:rFonts w:ascii="Times New Roman" w:hAnsi="Times New Roman"/>
          <w:i/>
          <w:lang w:val="en-US"/>
        </w:rPr>
        <w:t>IFRS 16 Effects Analysis</w:t>
      </w:r>
      <w:r w:rsidR="004F5958" w:rsidRPr="000C498A">
        <w:rPr>
          <w:rFonts w:ascii="Times New Roman" w:hAnsi="Times New Roman"/>
          <w:iCs/>
          <w:lang w:val="en-US"/>
        </w:rPr>
        <w:t xml:space="preserve">, 2016; </w:t>
      </w:r>
      <w:r w:rsidR="004F5958" w:rsidRPr="000C498A">
        <w:rPr>
          <w:rFonts w:ascii="Times New Roman" w:hAnsi="Times New Roman"/>
          <w:i/>
          <w:iCs/>
          <w:lang w:val="en-US"/>
        </w:rPr>
        <w:t>IFRS 16 — Leases</w:t>
      </w:r>
      <w:r w:rsidR="004F5958" w:rsidRPr="000C498A">
        <w:rPr>
          <w:rFonts w:ascii="Times New Roman" w:hAnsi="Times New Roman"/>
          <w:lang w:val="en-US"/>
        </w:rPr>
        <w:t>, 2016</w:t>
      </w:r>
      <w:r w:rsidR="004F5958" w:rsidRPr="000C498A">
        <w:rPr>
          <w:rFonts w:ascii="Times New Roman" w:hAnsi="Times New Roman"/>
          <w:iCs/>
          <w:lang w:val="en-US"/>
        </w:rPr>
        <w:t>).</w:t>
      </w:r>
    </w:p>
    <w:p w:rsidR="00936AB9" w:rsidRDefault="00936AB9" w:rsidP="00632369">
      <w:pPr>
        <w:spacing w:line="288" w:lineRule="auto"/>
        <w:rPr>
          <w:rFonts w:ascii="Times New Roman" w:eastAsia="TimesNRMTPro" w:hAnsi="Times New Roman"/>
          <w:szCs w:val="24"/>
          <w:lang w:val="en-GB"/>
        </w:rPr>
      </w:pPr>
      <w:r>
        <w:rPr>
          <w:rFonts w:ascii="Times New Roman" w:eastAsia="TimesNRMTPro" w:hAnsi="Times New Roman"/>
          <w:szCs w:val="24"/>
          <w:lang w:val="en-GB"/>
        </w:rPr>
        <w:tab/>
        <w:t>Though sharia boards of Islamic banks or Islamic windows may oppose any enforcement of IAS-17, regulators averse to F</w:t>
      </w:r>
      <w:r>
        <w:rPr>
          <w:rFonts w:ascii="Times New Roman" w:eastAsia="TimesNRMTPro" w:hAnsi="Times New Roman"/>
          <w:caps/>
          <w:szCs w:val="24"/>
          <w:lang w:val="en-GB"/>
        </w:rPr>
        <w:t xml:space="preserve">AS-8 </w:t>
      </w:r>
      <w:r>
        <w:rPr>
          <w:rFonts w:ascii="Times New Roman" w:eastAsia="TimesNRMTPro" w:hAnsi="Times New Roman"/>
          <w:szCs w:val="24"/>
          <w:lang w:val="en-GB"/>
        </w:rPr>
        <w:t xml:space="preserve">may point to the fact that some </w:t>
      </w:r>
      <w:r w:rsidR="005E426D">
        <w:rPr>
          <w:rFonts w:ascii="Times New Roman" w:eastAsia="TimesNRMTPro" w:hAnsi="Times New Roman"/>
          <w:szCs w:val="24"/>
          <w:lang w:val="en-GB"/>
        </w:rPr>
        <w:t xml:space="preserve">Islamic banks in the Emirates have no compunction following IAS-17 rather than FAS-8 (Gupta 2015). </w:t>
      </w:r>
      <w:r w:rsidR="00F60414">
        <w:rPr>
          <w:rFonts w:ascii="Times New Roman" w:eastAsia="TimesNRMTPro" w:hAnsi="Times New Roman"/>
          <w:szCs w:val="24"/>
          <w:lang w:val="en-GB"/>
        </w:rPr>
        <w:t xml:space="preserve">Indeed, AAOIFI </w:t>
      </w:r>
      <w:r w:rsidR="00A301AB">
        <w:rPr>
          <w:rFonts w:ascii="Times New Roman" w:eastAsia="TimesNRMTPro" w:hAnsi="Times New Roman"/>
          <w:szCs w:val="24"/>
          <w:lang w:val="en-GB"/>
        </w:rPr>
        <w:t xml:space="preserve">accounting </w:t>
      </w:r>
      <w:r w:rsidR="00F60414">
        <w:rPr>
          <w:rFonts w:ascii="Times New Roman" w:eastAsia="TimesNRMTPro" w:hAnsi="Times New Roman"/>
          <w:szCs w:val="24"/>
          <w:lang w:val="en-GB"/>
        </w:rPr>
        <w:t xml:space="preserve">standards are compulsory in only a few countries, </w:t>
      </w:r>
      <w:r w:rsidR="00A301AB">
        <w:rPr>
          <w:rFonts w:ascii="Times New Roman" w:eastAsia="TimesNRMTPro" w:hAnsi="Times New Roman"/>
          <w:szCs w:val="24"/>
          <w:lang w:val="en-GB"/>
        </w:rPr>
        <w:t xml:space="preserve">including </w:t>
      </w:r>
      <w:r w:rsidR="00A301AB" w:rsidRPr="00A301AB">
        <w:rPr>
          <w:rFonts w:ascii="Times New Roman" w:eastAsia="TimesNRMTPro" w:hAnsi="Times New Roman"/>
          <w:szCs w:val="24"/>
          <w:lang w:val="en-GB"/>
        </w:rPr>
        <w:t>Bahrain, Jordan, Oman, Qatar, Qatar Financial Centre, Sudan, and Syria</w:t>
      </w:r>
      <w:r w:rsidR="00A301AB">
        <w:rPr>
          <w:rFonts w:ascii="Times New Roman" w:eastAsia="TimesNRMTPro" w:hAnsi="Times New Roman"/>
          <w:szCs w:val="24"/>
          <w:lang w:val="en-GB"/>
        </w:rPr>
        <w:t xml:space="preserve"> (</w:t>
      </w:r>
      <w:r w:rsidR="00A301AB" w:rsidRPr="00A301AB">
        <w:rPr>
          <w:rFonts w:ascii="Times New Roman" w:eastAsia="TimesNRMTPro" w:hAnsi="Times New Roman"/>
          <w:szCs w:val="24"/>
          <w:lang w:val="en-GB"/>
        </w:rPr>
        <w:t>http://aaoifi.com/adoption-of-aaoifi-standards</w:t>
      </w:r>
      <w:r w:rsidR="00A301AB">
        <w:rPr>
          <w:rFonts w:ascii="Times New Roman" w:eastAsia="TimesNRMTPro" w:hAnsi="Times New Roman"/>
          <w:szCs w:val="24"/>
          <w:lang w:val="en-GB"/>
        </w:rPr>
        <w:t>)</w:t>
      </w:r>
      <w:r w:rsidR="00A301AB" w:rsidRPr="00A301AB">
        <w:rPr>
          <w:rFonts w:ascii="Times New Roman" w:eastAsia="TimesNRMTPro" w:hAnsi="Times New Roman"/>
          <w:szCs w:val="24"/>
          <w:lang w:val="en-GB"/>
        </w:rPr>
        <w:t>.</w:t>
      </w:r>
      <w:r w:rsidR="00A301AB" w:rsidRPr="00D66D84">
        <w:rPr>
          <w:rFonts w:ascii="Times New Roman" w:hAnsi="Times New Roman"/>
          <w:lang w:val="en-US"/>
        </w:rPr>
        <w:t xml:space="preserve"> </w:t>
      </w:r>
      <w:r w:rsidR="009E5B5B">
        <w:rPr>
          <w:rFonts w:ascii="Times New Roman" w:eastAsia="TimesNRMTPro" w:hAnsi="Times New Roman"/>
          <w:szCs w:val="24"/>
          <w:lang w:val="en-GB"/>
        </w:rPr>
        <w:t>A solution may be in sight. The IAS</w:t>
      </w:r>
      <w:r w:rsidR="009E5B5B" w:rsidRPr="009E5B5B">
        <w:rPr>
          <w:rFonts w:ascii="Times New Roman" w:eastAsia="TimesNRMTPro" w:hAnsi="Times New Roman"/>
          <w:szCs w:val="24"/>
          <w:lang w:val="en-GB"/>
        </w:rPr>
        <w:t xml:space="preserve">B set up </w:t>
      </w:r>
      <w:r w:rsidR="00EB4789">
        <w:rPr>
          <w:rFonts w:ascii="Times New Roman" w:eastAsia="TimesNRMTPro" w:hAnsi="Times New Roman"/>
          <w:szCs w:val="24"/>
          <w:lang w:val="en-GB"/>
        </w:rPr>
        <w:t>a consultative group on S</w:t>
      </w:r>
      <w:r w:rsidR="00EB4789" w:rsidRPr="00EB4789">
        <w:rPr>
          <w:rFonts w:ascii="Times New Roman" w:eastAsia="TimesNRMTPro" w:hAnsi="Times New Roman"/>
          <w:szCs w:val="24"/>
          <w:lang w:val="en-GB"/>
        </w:rPr>
        <w:t xml:space="preserve">haria-compliant transactions that commenced work in July 2013. </w:t>
      </w:r>
      <w:r w:rsidR="00EB4789">
        <w:rPr>
          <w:rFonts w:ascii="Times New Roman" w:eastAsia="TimesNRMTPro" w:hAnsi="Times New Roman"/>
          <w:szCs w:val="24"/>
          <w:lang w:val="en-GB"/>
        </w:rPr>
        <w:t>The AAOIFI first declined the invitation to join, but in December 2014 they decided to join after all</w:t>
      </w:r>
      <w:r w:rsidR="005B04A1">
        <w:rPr>
          <w:rFonts w:ascii="Times New Roman" w:eastAsia="TimesNRMTPro" w:hAnsi="Times New Roman"/>
          <w:szCs w:val="24"/>
          <w:lang w:val="en-GB"/>
        </w:rPr>
        <w:t xml:space="preserve"> (Amin, 2015)</w:t>
      </w:r>
      <w:r w:rsidR="00EB4789">
        <w:rPr>
          <w:rFonts w:ascii="Times New Roman" w:eastAsia="TimesNRMTPro" w:hAnsi="Times New Roman"/>
          <w:szCs w:val="24"/>
          <w:lang w:val="en-GB"/>
        </w:rPr>
        <w:t>.</w:t>
      </w:r>
    </w:p>
    <w:p w:rsidR="00E87B43" w:rsidRDefault="00DE51FD" w:rsidP="00632369">
      <w:pPr>
        <w:spacing w:line="288" w:lineRule="auto"/>
        <w:rPr>
          <w:rFonts w:ascii="Times New Roman" w:hAnsi="Times New Roman"/>
          <w:iCs/>
          <w:lang w:val="en-US"/>
        </w:rPr>
      </w:pPr>
      <w:r>
        <w:rPr>
          <w:rFonts w:ascii="Times New Roman" w:hAnsi="Times New Roman"/>
          <w:iCs/>
          <w:lang w:val="en-US"/>
        </w:rPr>
        <w:t>(iii) For the finer points of inventory valuation and profit determination of murabaha contracts see Ilter and Elbarrad 2013.</w:t>
      </w:r>
    </w:p>
    <w:p w:rsidR="00DE51FD" w:rsidRDefault="00DE51FD" w:rsidP="00632369">
      <w:pPr>
        <w:spacing w:line="288" w:lineRule="auto"/>
        <w:rPr>
          <w:rFonts w:ascii="Times New Roman" w:eastAsia="TimesNRMTPro" w:hAnsi="Times New Roman"/>
          <w:szCs w:val="24"/>
          <w:lang w:val="en-GB"/>
        </w:rPr>
      </w:pPr>
    </w:p>
    <w:p w:rsidR="008D7DA0" w:rsidRPr="00E254C2" w:rsidRDefault="00E254C2" w:rsidP="008D7DA0">
      <w:pPr>
        <w:spacing w:line="288" w:lineRule="auto"/>
        <w:rPr>
          <w:rFonts w:ascii="Times New Roman" w:eastAsia="TimesNRMTPro" w:hAnsi="Times New Roman"/>
          <w:b/>
          <w:szCs w:val="24"/>
          <w:lang w:val="en-GB"/>
        </w:rPr>
      </w:pPr>
      <w:r w:rsidRPr="00E254C2">
        <w:rPr>
          <w:rFonts w:ascii="Times New Roman" w:eastAsia="TimesNRMTPro" w:hAnsi="Times New Roman"/>
          <w:b/>
          <w:szCs w:val="24"/>
          <w:lang w:val="en-GB"/>
        </w:rPr>
        <w:t>9.R</w:t>
      </w:r>
      <w:r w:rsidR="008D7DA0" w:rsidRPr="00E254C2">
        <w:rPr>
          <w:rFonts w:ascii="Times New Roman" w:eastAsia="TimesNRMTPro" w:hAnsi="Times New Roman"/>
          <w:b/>
          <w:szCs w:val="24"/>
          <w:lang w:val="en-GB"/>
        </w:rPr>
        <w:t>esolution</w:t>
      </w:r>
    </w:p>
    <w:p w:rsidR="00EB494A" w:rsidRDefault="008D7DA0" w:rsidP="00632369">
      <w:pPr>
        <w:spacing w:line="288" w:lineRule="auto"/>
        <w:rPr>
          <w:rFonts w:ascii="Times New Roman" w:eastAsia="TimesNRMTPro" w:hAnsi="Times New Roman"/>
          <w:szCs w:val="24"/>
          <w:lang w:val="en-GB"/>
        </w:rPr>
      </w:pPr>
      <w:r>
        <w:rPr>
          <w:rFonts w:ascii="Times New Roman" w:eastAsia="TimesNRMTPro" w:hAnsi="Times New Roman"/>
          <w:szCs w:val="24"/>
          <w:lang w:val="en-GB"/>
        </w:rPr>
        <w:t>If a</w:t>
      </w:r>
      <w:r w:rsidR="00EB494A">
        <w:rPr>
          <w:rFonts w:ascii="Times New Roman" w:eastAsia="TimesNRMTPro" w:hAnsi="Times New Roman"/>
          <w:szCs w:val="24"/>
          <w:lang w:val="en-GB"/>
        </w:rPr>
        <w:t>n Islamic</w:t>
      </w:r>
      <w:r>
        <w:rPr>
          <w:rFonts w:ascii="Times New Roman" w:eastAsia="TimesNRMTPro" w:hAnsi="Times New Roman"/>
          <w:szCs w:val="24"/>
          <w:lang w:val="en-GB"/>
        </w:rPr>
        <w:t xml:space="preserve"> bank has be</w:t>
      </w:r>
      <w:r w:rsidR="00EB494A">
        <w:rPr>
          <w:rFonts w:ascii="Times New Roman" w:eastAsia="TimesNRMTPro" w:hAnsi="Times New Roman"/>
          <w:szCs w:val="24"/>
          <w:lang w:val="en-GB"/>
        </w:rPr>
        <w:t>en</w:t>
      </w:r>
      <w:r>
        <w:rPr>
          <w:rFonts w:ascii="Times New Roman" w:eastAsia="TimesNRMTPro" w:hAnsi="Times New Roman"/>
          <w:szCs w:val="24"/>
          <w:lang w:val="en-GB"/>
        </w:rPr>
        <w:t xml:space="preserve"> placed in resolution, </w:t>
      </w:r>
      <w:r w:rsidR="00E14AB8">
        <w:rPr>
          <w:rFonts w:ascii="Times New Roman" w:eastAsia="TimesNRMTPro" w:hAnsi="Times New Roman"/>
          <w:szCs w:val="24"/>
          <w:lang w:val="en-GB"/>
        </w:rPr>
        <w:t>its</w:t>
      </w:r>
      <w:r w:rsidR="00EB494A">
        <w:rPr>
          <w:rFonts w:ascii="Times New Roman" w:eastAsia="TimesNRMTPro" w:hAnsi="Times New Roman"/>
          <w:szCs w:val="24"/>
          <w:lang w:val="en-GB"/>
        </w:rPr>
        <w:t xml:space="preserve"> Islamic character is likely to add to the worries. The sharia board of the bank may, for instance, judge the resolution measures not sharia-compliant. </w:t>
      </w:r>
      <w:r w:rsidR="00FD2636">
        <w:rPr>
          <w:rFonts w:ascii="Times New Roman" w:eastAsia="TimesNRMTPro" w:hAnsi="Times New Roman"/>
          <w:szCs w:val="24"/>
          <w:lang w:val="en-GB"/>
        </w:rPr>
        <w:t xml:space="preserve">If  another Islamic bank is interested in acquiring the bank in resolution, the sharia boards of the two banks may disagree on the sharia compliance of the measures. A legal framework should be in place that </w:t>
      </w:r>
      <w:r w:rsidR="00B23B92">
        <w:rPr>
          <w:rFonts w:ascii="Times New Roman" w:eastAsia="TimesNRMTPro" w:hAnsi="Times New Roman"/>
          <w:szCs w:val="24"/>
          <w:lang w:val="en-GB"/>
        </w:rPr>
        <w:t>provides for such conflicts and decides whether the resolution authorities have the power to suspend or remove sharia board members of a bank in resolution, in addition to its directors.</w:t>
      </w:r>
      <w:r w:rsidR="00627679">
        <w:rPr>
          <w:rFonts w:ascii="Times New Roman" w:eastAsia="TimesNRMTPro" w:hAnsi="Times New Roman"/>
          <w:szCs w:val="24"/>
          <w:lang w:val="en-GB"/>
        </w:rPr>
        <w:t xml:space="preserve"> The resolution authority might be given the right to establish its own sharia board </w:t>
      </w:r>
      <w:r w:rsidR="00E14AB8">
        <w:rPr>
          <w:rFonts w:ascii="Times New Roman" w:eastAsia="TimesNRMTPro" w:hAnsi="Times New Roman"/>
          <w:szCs w:val="24"/>
          <w:lang w:val="en-GB"/>
        </w:rPr>
        <w:t>for</w:t>
      </w:r>
      <w:r w:rsidR="00627679">
        <w:rPr>
          <w:rFonts w:ascii="Times New Roman" w:eastAsia="TimesNRMTPro" w:hAnsi="Times New Roman"/>
          <w:szCs w:val="24"/>
          <w:lang w:val="en-GB"/>
        </w:rPr>
        <w:t xml:space="preserve"> advi</w:t>
      </w:r>
      <w:r w:rsidR="00E14AB8">
        <w:rPr>
          <w:rFonts w:ascii="Times New Roman" w:eastAsia="TimesNRMTPro" w:hAnsi="Times New Roman"/>
          <w:szCs w:val="24"/>
          <w:lang w:val="en-GB"/>
        </w:rPr>
        <w:t>c</w:t>
      </w:r>
      <w:r w:rsidR="00627679">
        <w:rPr>
          <w:rFonts w:ascii="Times New Roman" w:eastAsia="TimesNRMTPro" w:hAnsi="Times New Roman"/>
          <w:szCs w:val="24"/>
          <w:lang w:val="en-GB"/>
        </w:rPr>
        <w:t>e on resolution measures</w:t>
      </w:r>
      <w:r w:rsidR="00B23B92">
        <w:rPr>
          <w:rFonts w:ascii="Times New Roman" w:eastAsia="TimesNRMTPro" w:hAnsi="Times New Roman"/>
          <w:szCs w:val="24"/>
          <w:lang w:val="en-GB"/>
        </w:rPr>
        <w:t xml:space="preserve"> (Addo Awadzi et al.</w:t>
      </w:r>
      <w:r w:rsidR="00E254C2">
        <w:rPr>
          <w:rFonts w:ascii="Times New Roman" w:eastAsia="TimesNRMTPro" w:hAnsi="Times New Roman"/>
          <w:szCs w:val="24"/>
          <w:lang w:val="en-GB"/>
        </w:rPr>
        <w:t>,</w:t>
      </w:r>
      <w:r w:rsidR="00B23B92">
        <w:rPr>
          <w:rFonts w:ascii="Times New Roman" w:eastAsia="TimesNRMTPro" w:hAnsi="Times New Roman"/>
          <w:szCs w:val="24"/>
          <w:lang w:val="en-GB"/>
        </w:rPr>
        <w:t xml:space="preserve"> 2015). </w:t>
      </w:r>
    </w:p>
    <w:p w:rsidR="00714767" w:rsidRPr="00714767" w:rsidRDefault="00627679" w:rsidP="00714767">
      <w:pPr>
        <w:spacing w:line="288" w:lineRule="auto"/>
        <w:rPr>
          <w:rFonts w:ascii="Times New Roman" w:eastAsia="TimesNRMTPro" w:hAnsi="Times New Roman"/>
          <w:szCs w:val="24"/>
          <w:lang w:val="en-GB"/>
        </w:rPr>
      </w:pPr>
      <w:r>
        <w:rPr>
          <w:rFonts w:ascii="Times New Roman" w:eastAsia="TimesNRMTPro" w:hAnsi="Times New Roman"/>
          <w:szCs w:val="24"/>
          <w:lang w:val="en-GB"/>
        </w:rPr>
        <w:tab/>
        <w:t xml:space="preserve">Another issue calling for attention is what triggers should be in place for activating resolution powers in view of the </w:t>
      </w:r>
      <w:r w:rsidR="00F76201">
        <w:rPr>
          <w:rFonts w:ascii="Times New Roman" w:eastAsia="TimesNRMTPro" w:hAnsi="Times New Roman"/>
          <w:szCs w:val="24"/>
          <w:lang w:val="en-GB"/>
        </w:rPr>
        <w:t>special character of</w:t>
      </w:r>
      <w:r w:rsidR="00E14AB8">
        <w:rPr>
          <w:rFonts w:ascii="Times New Roman" w:eastAsia="TimesNRMTPro" w:hAnsi="Times New Roman"/>
          <w:szCs w:val="24"/>
          <w:lang w:val="en-GB"/>
        </w:rPr>
        <w:t xml:space="preserve"> Islamic banks’</w:t>
      </w:r>
      <w:r w:rsidR="00F76201">
        <w:rPr>
          <w:rFonts w:ascii="Times New Roman" w:eastAsia="TimesNRMTPro" w:hAnsi="Times New Roman"/>
          <w:szCs w:val="24"/>
          <w:lang w:val="en-GB"/>
        </w:rPr>
        <w:t xml:space="preserve"> products. The conventional capital adequacy and liquidity thresholds do not always seem appropriate for ijara or PLS financing</w:t>
      </w:r>
      <w:r w:rsidR="00A831F4">
        <w:rPr>
          <w:rFonts w:ascii="Times New Roman" w:eastAsia="TimesNRMTPro" w:hAnsi="Times New Roman"/>
          <w:szCs w:val="24"/>
          <w:lang w:val="en-GB"/>
        </w:rPr>
        <w:t>, which are not pure lending</w:t>
      </w:r>
      <w:r w:rsidR="00F76201">
        <w:rPr>
          <w:rFonts w:ascii="Times New Roman" w:eastAsia="TimesNRMTPro" w:hAnsi="Times New Roman"/>
          <w:szCs w:val="24"/>
          <w:lang w:val="en-GB"/>
        </w:rPr>
        <w:t>.</w:t>
      </w:r>
      <w:r w:rsidR="00A831F4">
        <w:rPr>
          <w:rFonts w:ascii="Times New Roman" w:eastAsia="TimesNRMTPro" w:hAnsi="Times New Roman"/>
          <w:szCs w:val="24"/>
          <w:lang w:val="en-GB"/>
        </w:rPr>
        <w:t xml:space="preserve"> On the liabilities side of the balance sheet,  it should be clear whether </w:t>
      </w:r>
      <w:r w:rsidR="00E254C2">
        <w:rPr>
          <w:rFonts w:ascii="Times New Roman" w:eastAsia="TimesNRMTPro" w:hAnsi="Times New Roman"/>
          <w:szCs w:val="24"/>
          <w:lang w:val="en-GB"/>
        </w:rPr>
        <w:t>deposits, in paricular the investment accounts discussed above,</w:t>
      </w:r>
      <w:r w:rsidR="00A831F4">
        <w:rPr>
          <w:rFonts w:ascii="Times New Roman" w:eastAsia="TimesNRMTPro" w:hAnsi="Times New Roman"/>
          <w:szCs w:val="24"/>
          <w:lang w:val="en-GB"/>
        </w:rPr>
        <w:t xml:space="preserve"> have the legal status o</w:t>
      </w:r>
      <w:r w:rsidR="000605F0">
        <w:rPr>
          <w:rFonts w:ascii="Times New Roman" w:eastAsia="TimesNRMTPro" w:hAnsi="Times New Roman"/>
          <w:szCs w:val="24"/>
          <w:lang w:val="en-GB"/>
        </w:rPr>
        <w:t>f client</w:t>
      </w:r>
      <w:r w:rsidR="002971D7">
        <w:rPr>
          <w:rFonts w:ascii="Times New Roman" w:eastAsia="TimesNRMTPro" w:hAnsi="Times New Roman"/>
          <w:szCs w:val="24"/>
          <w:lang w:val="en-GB"/>
        </w:rPr>
        <w:t xml:space="preserve"> assets.</w:t>
      </w:r>
      <w:r w:rsidR="00714767">
        <w:rPr>
          <w:rFonts w:ascii="Times New Roman" w:eastAsia="TimesNRMTPro" w:hAnsi="Times New Roman"/>
          <w:szCs w:val="24"/>
          <w:lang w:val="en-GB"/>
        </w:rPr>
        <w:t xml:space="preserve"> In that case</w:t>
      </w:r>
      <w:r w:rsidR="002971D7">
        <w:rPr>
          <w:rFonts w:ascii="Times New Roman" w:eastAsia="TimesNRMTPro" w:hAnsi="Times New Roman"/>
          <w:szCs w:val="24"/>
          <w:lang w:val="en-GB"/>
        </w:rPr>
        <w:t xml:space="preserve"> account holders have recourse to the bank’s assets in a resolution</w:t>
      </w:r>
      <w:r w:rsidR="00714767">
        <w:rPr>
          <w:rFonts w:ascii="Times New Roman" w:eastAsia="TimesNRMTPro" w:hAnsi="Times New Roman"/>
          <w:szCs w:val="24"/>
          <w:lang w:val="en-GB"/>
        </w:rPr>
        <w:t>. Their deposits are not available for absorbing losses</w:t>
      </w:r>
      <w:r w:rsidR="002971D7">
        <w:rPr>
          <w:rFonts w:ascii="Times New Roman" w:eastAsia="TimesNRMTPro" w:hAnsi="Times New Roman"/>
          <w:szCs w:val="24"/>
          <w:lang w:val="en-GB"/>
        </w:rPr>
        <w:t xml:space="preserve"> </w:t>
      </w:r>
      <w:r w:rsidR="00714767">
        <w:rPr>
          <w:rFonts w:ascii="Times New Roman" w:eastAsia="TimesNRMTPro" w:hAnsi="Times New Roman"/>
          <w:szCs w:val="24"/>
          <w:lang w:val="en-GB"/>
        </w:rPr>
        <w:t>and</w:t>
      </w:r>
      <w:r w:rsidR="00CE4B96">
        <w:rPr>
          <w:rFonts w:ascii="Times New Roman" w:eastAsia="TimesNRMTPro" w:hAnsi="Times New Roman"/>
          <w:szCs w:val="24"/>
          <w:lang w:val="en-GB"/>
        </w:rPr>
        <w:t xml:space="preserve"> should be segregated (see for guidelines</w:t>
      </w:r>
      <w:r w:rsidR="00C3037B">
        <w:rPr>
          <w:rFonts w:ascii="Times New Roman" w:eastAsia="TimesNRMTPro" w:hAnsi="Times New Roman"/>
          <w:szCs w:val="24"/>
          <w:lang w:val="en-GB"/>
        </w:rPr>
        <w:t xml:space="preserve"> FSB, 2014</w:t>
      </w:r>
      <w:r w:rsidR="00EB007F">
        <w:rPr>
          <w:rFonts w:ascii="Times New Roman" w:eastAsia="TimesNRMTPro" w:hAnsi="Times New Roman"/>
          <w:szCs w:val="24"/>
          <w:lang w:val="en-GB"/>
        </w:rPr>
        <w:t>).</w:t>
      </w:r>
    </w:p>
    <w:p w:rsidR="00627679" w:rsidRDefault="0081208D" w:rsidP="00714767">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The ban on riba puts an obstacle in the way of an acquisition of an Islamic bank in resolution by another bank. The ban on riba implies that debt can only be sold at its nominal value</w:t>
      </w:r>
      <w:r w:rsidR="00CB09C3">
        <w:rPr>
          <w:rFonts w:ascii="Times New Roman" w:eastAsia="TimesNRMTPro" w:hAnsi="Times New Roman"/>
          <w:szCs w:val="24"/>
          <w:lang w:val="en-GB"/>
        </w:rPr>
        <w:t xml:space="preserve"> and not</w:t>
      </w:r>
      <w:r>
        <w:rPr>
          <w:rFonts w:ascii="Times New Roman" w:eastAsia="TimesNRMTPro" w:hAnsi="Times New Roman"/>
          <w:szCs w:val="24"/>
          <w:lang w:val="en-GB"/>
        </w:rPr>
        <w:t xml:space="preserve"> every sharia board will accept the maslaha argument as applied by the Malaysian regulators. Moreover, resolutions may also find obstacles in </w:t>
      </w:r>
      <w:r w:rsidR="00CB09C3">
        <w:rPr>
          <w:rFonts w:ascii="Times New Roman" w:eastAsia="TimesNRMTPro" w:hAnsi="Times New Roman"/>
          <w:szCs w:val="24"/>
          <w:lang w:val="en-GB"/>
        </w:rPr>
        <w:t>their</w:t>
      </w:r>
      <w:r>
        <w:rPr>
          <w:rFonts w:ascii="Times New Roman" w:eastAsia="TimesNRMTPro" w:hAnsi="Times New Roman"/>
          <w:szCs w:val="24"/>
          <w:lang w:val="en-GB"/>
        </w:rPr>
        <w:t xml:space="preserve"> way because mandatory debt write-offs do not seem to be sharia-compliant. </w:t>
      </w:r>
      <w:r w:rsidR="00C95366">
        <w:rPr>
          <w:rFonts w:ascii="Times New Roman" w:eastAsia="TimesNRMTPro" w:hAnsi="Times New Roman"/>
          <w:szCs w:val="24"/>
          <w:lang w:val="en-GB"/>
        </w:rPr>
        <w:t xml:space="preserve">Debt can only be discharged if it is paid in full or if it is forgiven voluntarily by the creditor. Circumstances may arise where the resolution authority, or the sharia board it appointed, can only force a decision with an appeal to the principle of </w:t>
      </w:r>
      <w:r w:rsidR="00C95366" w:rsidRPr="00E254C2">
        <w:rPr>
          <w:rFonts w:ascii="Times New Roman" w:eastAsia="TimesNRMTPro" w:hAnsi="Times New Roman"/>
          <w:szCs w:val="24"/>
          <w:lang w:val="en-GB"/>
        </w:rPr>
        <w:t>darura</w:t>
      </w:r>
      <w:r w:rsidR="00C95366">
        <w:rPr>
          <w:rFonts w:ascii="Times New Roman" w:eastAsia="TimesNRMTPro" w:hAnsi="Times New Roman"/>
          <w:szCs w:val="24"/>
          <w:lang w:val="en-GB"/>
        </w:rPr>
        <w:t xml:space="preserve">, or necessity. There is, however, no unamity among sharia scholars how far </w:t>
      </w:r>
      <w:r w:rsidR="008D407A">
        <w:rPr>
          <w:rFonts w:ascii="Times New Roman" w:eastAsia="TimesNRMTPro" w:hAnsi="Times New Roman"/>
          <w:szCs w:val="24"/>
          <w:lang w:val="en-GB"/>
        </w:rPr>
        <w:t xml:space="preserve">the applicability of </w:t>
      </w:r>
      <w:r w:rsidR="00C95366">
        <w:rPr>
          <w:rFonts w:ascii="Times New Roman" w:eastAsia="TimesNRMTPro" w:hAnsi="Times New Roman"/>
          <w:szCs w:val="24"/>
          <w:lang w:val="en-GB"/>
        </w:rPr>
        <w:t>this principle can be stretched.</w:t>
      </w:r>
    </w:p>
    <w:p w:rsidR="00C95366" w:rsidRDefault="00C95366" w:rsidP="00632369">
      <w:pPr>
        <w:spacing w:line="288" w:lineRule="auto"/>
        <w:rPr>
          <w:rFonts w:ascii="Times New Roman" w:eastAsia="TimesNRMTPro" w:hAnsi="Times New Roman"/>
          <w:szCs w:val="24"/>
          <w:lang w:val="en-GB"/>
        </w:rPr>
      </w:pPr>
    </w:p>
    <w:p w:rsidR="00C95366" w:rsidRPr="007F38A7" w:rsidRDefault="007F38A7" w:rsidP="00632369">
      <w:pPr>
        <w:spacing w:line="288" w:lineRule="auto"/>
        <w:rPr>
          <w:rFonts w:ascii="Times New Roman" w:eastAsia="TimesNRMTPro" w:hAnsi="Times New Roman"/>
          <w:b/>
          <w:szCs w:val="24"/>
          <w:lang w:val="en-GB"/>
        </w:rPr>
      </w:pPr>
      <w:r w:rsidRPr="007F38A7">
        <w:rPr>
          <w:rFonts w:ascii="Times New Roman" w:eastAsia="TimesNRMTPro" w:hAnsi="Times New Roman"/>
          <w:b/>
          <w:szCs w:val="24"/>
          <w:lang w:val="en-GB"/>
        </w:rPr>
        <w:t>10.S</w:t>
      </w:r>
      <w:r w:rsidR="008D407A" w:rsidRPr="007F38A7">
        <w:rPr>
          <w:rFonts w:ascii="Times New Roman" w:eastAsia="TimesNRMTPro" w:hAnsi="Times New Roman"/>
          <w:b/>
          <w:szCs w:val="24"/>
          <w:lang w:val="en-GB"/>
        </w:rPr>
        <w:t>haria risk</w:t>
      </w:r>
    </w:p>
    <w:p w:rsidR="007F38A7" w:rsidRDefault="008D407A" w:rsidP="00632369">
      <w:pPr>
        <w:spacing w:line="288" w:lineRule="auto"/>
        <w:rPr>
          <w:rFonts w:ascii="Times New Roman" w:eastAsia="TimesNRMTPro" w:hAnsi="Times New Roman"/>
          <w:szCs w:val="24"/>
          <w:lang w:val="en-GB"/>
        </w:rPr>
      </w:pPr>
      <w:r>
        <w:rPr>
          <w:rFonts w:ascii="Times New Roman" w:eastAsia="TimesNRMTPro" w:hAnsi="Times New Roman"/>
          <w:szCs w:val="24"/>
          <w:lang w:val="en-GB"/>
        </w:rPr>
        <w:t xml:space="preserve">Islamic banks </w:t>
      </w:r>
      <w:r w:rsidR="00A97160">
        <w:rPr>
          <w:rFonts w:ascii="Times New Roman" w:eastAsia="TimesNRMTPro" w:hAnsi="Times New Roman"/>
          <w:szCs w:val="24"/>
          <w:lang w:val="en-GB"/>
        </w:rPr>
        <w:t xml:space="preserve">and other financial institutions </w:t>
      </w:r>
      <w:r>
        <w:rPr>
          <w:rFonts w:ascii="Times New Roman" w:eastAsia="TimesNRMTPro" w:hAnsi="Times New Roman"/>
          <w:szCs w:val="24"/>
          <w:lang w:val="en-GB"/>
        </w:rPr>
        <w:t xml:space="preserve">run </w:t>
      </w:r>
      <w:r w:rsidR="00A97160">
        <w:rPr>
          <w:rFonts w:ascii="Times New Roman" w:eastAsia="TimesNRMTPro" w:hAnsi="Times New Roman"/>
          <w:szCs w:val="24"/>
          <w:lang w:val="en-GB"/>
        </w:rPr>
        <w:t xml:space="preserve">a </w:t>
      </w:r>
      <w:r w:rsidR="00CB09C3">
        <w:rPr>
          <w:rFonts w:ascii="Times New Roman" w:eastAsia="TimesNRMTPro" w:hAnsi="Times New Roman"/>
          <w:szCs w:val="24"/>
          <w:lang w:val="en-GB"/>
        </w:rPr>
        <w:t>specific risk that does not</w:t>
      </w:r>
      <w:r>
        <w:rPr>
          <w:rFonts w:ascii="Times New Roman" w:eastAsia="TimesNRMTPro" w:hAnsi="Times New Roman"/>
          <w:szCs w:val="24"/>
          <w:lang w:val="en-GB"/>
        </w:rPr>
        <w:t xml:space="preserve"> plague conventional banks. </w:t>
      </w:r>
      <w:r w:rsidR="00A97160">
        <w:rPr>
          <w:rFonts w:ascii="Times New Roman" w:eastAsia="TimesNRMTPro" w:hAnsi="Times New Roman"/>
          <w:szCs w:val="24"/>
          <w:lang w:val="en-GB"/>
        </w:rPr>
        <w:t>This</w:t>
      </w:r>
      <w:r>
        <w:rPr>
          <w:rFonts w:ascii="Times New Roman" w:eastAsia="TimesNRMTPro" w:hAnsi="Times New Roman"/>
          <w:szCs w:val="24"/>
          <w:lang w:val="en-GB"/>
        </w:rPr>
        <w:t xml:space="preserve"> is sharia risk</w:t>
      </w:r>
      <w:r w:rsidR="000112DB">
        <w:rPr>
          <w:rFonts w:ascii="Times New Roman" w:eastAsia="TimesNRMTPro" w:hAnsi="Times New Roman"/>
          <w:szCs w:val="24"/>
          <w:lang w:val="en-GB"/>
        </w:rPr>
        <w:t>, or</w:t>
      </w:r>
      <w:r w:rsidR="005F3FF7">
        <w:rPr>
          <w:rFonts w:ascii="Times New Roman" w:eastAsia="TimesNRMTPro" w:hAnsi="Times New Roman"/>
          <w:szCs w:val="24"/>
          <w:lang w:val="en-GB"/>
        </w:rPr>
        <w:t xml:space="preserve"> the risk</w:t>
      </w:r>
      <w:r w:rsidR="00A97160">
        <w:rPr>
          <w:rFonts w:ascii="Times New Roman" w:eastAsia="TimesNRMTPro" w:hAnsi="Times New Roman"/>
          <w:szCs w:val="24"/>
          <w:lang w:val="en-GB"/>
        </w:rPr>
        <w:t xml:space="preserve"> of loss</w:t>
      </w:r>
      <w:r w:rsidR="005F3FF7">
        <w:rPr>
          <w:rFonts w:ascii="Times New Roman" w:eastAsia="TimesNRMTPro" w:hAnsi="Times New Roman"/>
          <w:szCs w:val="24"/>
          <w:lang w:val="en-GB"/>
        </w:rPr>
        <w:t xml:space="preserve"> </w:t>
      </w:r>
      <w:r w:rsidR="00A97160">
        <w:rPr>
          <w:rFonts w:ascii="Times New Roman" w:eastAsia="TimesNRMTPro" w:hAnsi="Times New Roman"/>
          <w:szCs w:val="24"/>
          <w:lang w:val="en-GB"/>
        </w:rPr>
        <w:t>because</w:t>
      </w:r>
      <w:r w:rsidR="005A2AE6">
        <w:rPr>
          <w:rFonts w:ascii="Times New Roman" w:eastAsia="TimesNRMTPro" w:hAnsi="Times New Roman"/>
          <w:szCs w:val="24"/>
          <w:lang w:val="en-GB"/>
        </w:rPr>
        <w:t xml:space="preserve"> an Islamic financial institution’s products or activities are found</w:t>
      </w:r>
      <w:r w:rsidR="00A97160">
        <w:rPr>
          <w:rFonts w:ascii="Times New Roman" w:eastAsia="TimesNRMTPro" w:hAnsi="Times New Roman"/>
          <w:szCs w:val="24"/>
          <w:lang w:val="en-GB"/>
        </w:rPr>
        <w:t xml:space="preserve"> or judged</w:t>
      </w:r>
      <w:r w:rsidR="005A2AE6">
        <w:rPr>
          <w:rFonts w:ascii="Times New Roman" w:eastAsia="TimesNRMTPro" w:hAnsi="Times New Roman"/>
          <w:szCs w:val="24"/>
          <w:lang w:val="en-GB"/>
        </w:rPr>
        <w:t xml:space="preserve"> to be not sharia-compliant</w:t>
      </w:r>
      <w:r w:rsidR="007F38A7">
        <w:rPr>
          <w:rFonts w:ascii="Times New Roman" w:eastAsia="TimesNRMTPro" w:hAnsi="Times New Roman"/>
          <w:szCs w:val="24"/>
          <w:lang w:val="en-GB"/>
        </w:rPr>
        <w:t xml:space="preserve"> (see </w:t>
      </w:r>
      <w:r w:rsidR="007F38A7" w:rsidRPr="007F38A7">
        <w:rPr>
          <w:rFonts w:ascii="Times New Roman" w:eastAsia="TimesNRMTPro" w:hAnsi="Times New Roman"/>
          <w:szCs w:val="24"/>
          <w:lang w:val="en-GB"/>
        </w:rPr>
        <w:t>Ginena</w:t>
      </w:r>
      <w:r w:rsidR="007F38A7">
        <w:rPr>
          <w:rFonts w:ascii="Times New Roman" w:eastAsia="TimesNRMTPro" w:hAnsi="Times New Roman"/>
          <w:szCs w:val="24"/>
          <w:lang w:val="en-GB"/>
        </w:rPr>
        <w:t>, 2014, for</w:t>
      </w:r>
      <w:r w:rsidR="007F38A7" w:rsidRPr="007F38A7">
        <w:rPr>
          <w:rFonts w:ascii="Times New Roman" w:eastAsia="TimesNRMTPro" w:hAnsi="Times New Roman"/>
          <w:szCs w:val="24"/>
          <w:lang w:val="en-GB"/>
        </w:rPr>
        <w:t xml:space="preserve"> a comprehensive analysis of sharia risk</w:t>
      </w:r>
      <w:r w:rsidR="007F38A7">
        <w:rPr>
          <w:rFonts w:ascii="Times New Roman" w:eastAsia="TimesNRMTPro" w:hAnsi="Times New Roman"/>
          <w:szCs w:val="24"/>
          <w:lang w:val="en-GB"/>
        </w:rPr>
        <w:t>).</w:t>
      </w:r>
      <w:r w:rsidR="007F38A7" w:rsidRPr="007F38A7">
        <w:rPr>
          <w:rFonts w:ascii="Times New Roman" w:eastAsia="TimesNRMTPro" w:hAnsi="Times New Roman"/>
          <w:szCs w:val="24"/>
          <w:lang w:val="en-GB"/>
        </w:rPr>
        <w:t xml:space="preserve"> </w:t>
      </w:r>
      <w:r w:rsidR="00A97160">
        <w:rPr>
          <w:rFonts w:ascii="Times New Roman" w:eastAsia="TimesNRMTPro" w:hAnsi="Times New Roman"/>
          <w:szCs w:val="24"/>
          <w:lang w:val="en-GB"/>
        </w:rPr>
        <w:t>Customers may withdraw deposits on the mere rumour that an institution or its personnel do not fully comply with Islamic law. If a</w:t>
      </w:r>
      <w:r w:rsidR="005F3FF7">
        <w:rPr>
          <w:rFonts w:ascii="Times New Roman" w:eastAsia="TimesNRMTPro" w:hAnsi="Times New Roman"/>
          <w:szCs w:val="24"/>
          <w:lang w:val="en-GB"/>
        </w:rPr>
        <w:t xml:space="preserve"> contract party </w:t>
      </w:r>
      <w:r w:rsidR="00A97160">
        <w:rPr>
          <w:rFonts w:ascii="Times New Roman" w:eastAsia="TimesNRMTPro" w:hAnsi="Times New Roman"/>
          <w:szCs w:val="24"/>
          <w:lang w:val="en-GB"/>
        </w:rPr>
        <w:t>s</w:t>
      </w:r>
      <w:r w:rsidR="00CB09C3">
        <w:rPr>
          <w:rFonts w:ascii="Times New Roman" w:eastAsia="TimesNRMTPro" w:hAnsi="Times New Roman"/>
          <w:szCs w:val="24"/>
          <w:lang w:val="en-GB"/>
        </w:rPr>
        <w:t>uspects non-compliance with shar</w:t>
      </w:r>
      <w:r w:rsidR="00A97160">
        <w:rPr>
          <w:rFonts w:ascii="Times New Roman" w:eastAsia="TimesNRMTPro" w:hAnsi="Times New Roman"/>
          <w:szCs w:val="24"/>
          <w:lang w:val="en-GB"/>
        </w:rPr>
        <w:t xml:space="preserve">ia it </w:t>
      </w:r>
      <w:r w:rsidR="00CB09C3">
        <w:rPr>
          <w:rFonts w:ascii="Times New Roman" w:eastAsia="TimesNRMTPro" w:hAnsi="Times New Roman"/>
          <w:szCs w:val="24"/>
          <w:lang w:val="en-GB"/>
        </w:rPr>
        <w:t>may</w:t>
      </w:r>
      <w:r w:rsidR="00A97160">
        <w:rPr>
          <w:rFonts w:ascii="Times New Roman" w:eastAsia="TimesNRMTPro" w:hAnsi="Times New Roman"/>
          <w:szCs w:val="24"/>
          <w:lang w:val="en-GB"/>
        </w:rPr>
        <w:t xml:space="preserve"> want to nullify a contract</w:t>
      </w:r>
      <w:r>
        <w:rPr>
          <w:rFonts w:ascii="Times New Roman" w:eastAsia="TimesNRMTPro" w:hAnsi="Times New Roman"/>
          <w:szCs w:val="24"/>
          <w:lang w:val="en-GB"/>
        </w:rPr>
        <w:t>.</w:t>
      </w:r>
      <w:r w:rsidR="001A181E">
        <w:rPr>
          <w:rFonts w:ascii="Times New Roman" w:eastAsia="TimesNRMTPro" w:hAnsi="Times New Roman"/>
          <w:szCs w:val="24"/>
          <w:lang w:val="en-GB"/>
        </w:rPr>
        <w:t xml:space="preserve"> A lawsuit might impair the bank’s viability, because of </w:t>
      </w:r>
      <w:r w:rsidR="00A97160">
        <w:rPr>
          <w:rFonts w:ascii="Times New Roman" w:eastAsia="TimesNRMTPro" w:hAnsi="Times New Roman"/>
          <w:szCs w:val="24"/>
          <w:lang w:val="en-GB"/>
        </w:rPr>
        <w:t xml:space="preserve"> </w:t>
      </w:r>
      <w:r w:rsidR="001A181E">
        <w:rPr>
          <w:rFonts w:ascii="Times New Roman" w:eastAsia="TimesNRMTPro" w:hAnsi="Times New Roman"/>
          <w:szCs w:val="24"/>
          <w:lang w:val="en-GB"/>
        </w:rPr>
        <w:t>damages to be paid</w:t>
      </w:r>
      <w:r w:rsidR="000367EA">
        <w:rPr>
          <w:rFonts w:ascii="Times New Roman" w:eastAsia="TimesNRMTPro" w:hAnsi="Times New Roman"/>
          <w:szCs w:val="24"/>
          <w:lang w:val="en-GB"/>
        </w:rPr>
        <w:t xml:space="preserve"> and</w:t>
      </w:r>
      <w:r w:rsidR="005A2AE6">
        <w:rPr>
          <w:rFonts w:ascii="Times New Roman" w:eastAsia="TimesNRMTPro" w:hAnsi="Times New Roman"/>
          <w:szCs w:val="24"/>
          <w:lang w:val="en-GB"/>
        </w:rPr>
        <w:t xml:space="preserve"> because</w:t>
      </w:r>
      <w:r w:rsidR="00CB09C3">
        <w:rPr>
          <w:rFonts w:ascii="Times New Roman" w:eastAsia="TimesNRMTPro" w:hAnsi="Times New Roman"/>
          <w:szCs w:val="24"/>
          <w:lang w:val="en-GB"/>
        </w:rPr>
        <w:t xml:space="preserve"> </w:t>
      </w:r>
      <w:r w:rsidR="00750969">
        <w:rPr>
          <w:rFonts w:ascii="Times New Roman" w:eastAsia="TimesNRMTPro" w:hAnsi="Times New Roman"/>
          <w:szCs w:val="24"/>
          <w:lang w:val="en-GB"/>
        </w:rPr>
        <w:t>the loss of reputation makes</w:t>
      </w:r>
      <w:r w:rsidR="005A2AE6">
        <w:rPr>
          <w:rFonts w:ascii="Times New Roman" w:eastAsia="TimesNRMTPro" w:hAnsi="Times New Roman"/>
          <w:szCs w:val="24"/>
          <w:lang w:val="en-GB"/>
        </w:rPr>
        <w:t xml:space="preserve"> customers leave.</w:t>
      </w:r>
      <w:r w:rsidR="00A97160">
        <w:rPr>
          <w:rFonts w:ascii="Times New Roman" w:eastAsia="TimesNRMTPro" w:hAnsi="Times New Roman"/>
          <w:szCs w:val="24"/>
          <w:lang w:val="en-GB"/>
        </w:rPr>
        <w:t xml:space="preserve"> </w:t>
      </w:r>
      <w:r w:rsidR="000367EA">
        <w:rPr>
          <w:rFonts w:ascii="Times New Roman" w:eastAsia="TimesNRMTPro" w:hAnsi="Times New Roman"/>
          <w:szCs w:val="24"/>
          <w:lang w:val="en-GB"/>
        </w:rPr>
        <w:t>In addition, if a court finds for the complainant, the losing Islamic bank will have to donate any profits from the transactions found to be non-compli</w:t>
      </w:r>
      <w:r w:rsidR="000112DB">
        <w:rPr>
          <w:rFonts w:ascii="Times New Roman" w:eastAsia="TimesNRMTPro" w:hAnsi="Times New Roman"/>
          <w:szCs w:val="24"/>
          <w:lang w:val="en-GB"/>
        </w:rPr>
        <w:t>a</w:t>
      </w:r>
      <w:r w:rsidR="000367EA">
        <w:rPr>
          <w:rFonts w:ascii="Times New Roman" w:eastAsia="TimesNRMTPro" w:hAnsi="Times New Roman"/>
          <w:szCs w:val="24"/>
          <w:lang w:val="en-GB"/>
        </w:rPr>
        <w:t>nt with sharia to a charity (</w:t>
      </w:r>
      <w:r w:rsidR="000112DB">
        <w:rPr>
          <w:rFonts w:ascii="Times New Roman" w:eastAsia="TimesNRMTPro" w:hAnsi="Times New Roman"/>
          <w:szCs w:val="24"/>
          <w:lang w:val="en-GB"/>
        </w:rPr>
        <w:t>Ginena</w:t>
      </w:r>
      <w:r w:rsidR="008F6475">
        <w:rPr>
          <w:rFonts w:ascii="Times New Roman" w:eastAsia="TimesNRMTPro" w:hAnsi="Times New Roman"/>
          <w:szCs w:val="24"/>
          <w:lang w:val="en-GB"/>
        </w:rPr>
        <w:t>,</w:t>
      </w:r>
      <w:r w:rsidR="000112DB">
        <w:rPr>
          <w:rFonts w:ascii="Times New Roman" w:eastAsia="TimesNRMTPro" w:hAnsi="Times New Roman"/>
          <w:szCs w:val="24"/>
          <w:lang w:val="en-GB"/>
        </w:rPr>
        <w:t xml:space="preserve"> 2014</w:t>
      </w:r>
      <w:r w:rsidR="007F38A7">
        <w:rPr>
          <w:rFonts w:ascii="Times New Roman" w:eastAsia="TimesNRMTPro" w:hAnsi="Times New Roman"/>
          <w:szCs w:val="24"/>
          <w:lang w:val="en-GB"/>
        </w:rPr>
        <w:t xml:space="preserve">; see </w:t>
      </w:r>
      <w:r w:rsidR="007F38A7" w:rsidRPr="007F38A7">
        <w:rPr>
          <w:rFonts w:ascii="Times New Roman" w:eastAsia="TimesNRMTPro" w:hAnsi="Times New Roman"/>
          <w:szCs w:val="24"/>
          <w:lang w:val="en-GB"/>
        </w:rPr>
        <w:t>Howladar</w:t>
      </w:r>
      <w:r w:rsidR="007F38A7">
        <w:rPr>
          <w:rFonts w:ascii="Times New Roman" w:eastAsia="TimesNRMTPro" w:hAnsi="Times New Roman"/>
          <w:szCs w:val="24"/>
          <w:lang w:val="en-GB"/>
        </w:rPr>
        <w:t>,</w:t>
      </w:r>
      <w:r w:rsidR="007F38A7" w:rsidRPr="007F38A7">
        <w:rPr>
          <w:rFonts w:ascii="Times New Roman" w:eastAsia="TimesNRMTPro" w:hAnsi="Times New Roman"/>
          <w:szCs w:val="24"/>
          <w:lang w:val="en-GB"/>
        </w:rPr>
        <w:t xml:space="preserve"> 2010</w:t>
      </w:r>
      <w:r w:rsidR="007F38A7">
        <w:rPr>
          <w:rFonts w:ascii="Times New Roman" w:eastAsia="TimesNRMTPro" w:hAnsi="Times New Roman"/>
          <w:szCs w:val="24"/>
          <w:lang w:val="en-GB"/>
        </w:rPr>
        <w:t>,</w:t>
      </w:r>
      <w:r w:rsidR="007F38A7" w:rsidRPr="007F38A7">
        <w:rPr>
          <w:rFonts w:ascii="Times New Roman" w:eastAsia="TimesNRMTPro" w:hAnsi="Times New Roman"/>
          <w:szCs w:val="24"/>
          <w:lang w:val="en-GB"/>
        </w:rPr>
        <w:t xml:space="preserve"> for the complexities of litigation concerning sharia compliance</w:t>
      </w:r>
      <w:r w:rsidR="007F38A7">
        <w:rPr>
          <w:rFonts w:ascii="Times New Roman" w:eastAsia="TimesNRMTPro" w:hAnsi="Times New Roman"/>
          <w:szCs w:val="24"/>
          <w:lang w:val="en-GB"/>
        </w:rPr>
        <w:t>)</w:t>
      </w:r>
      <w:r w:rsidR="007F38A7" w:rsidRPr="007F38A7">
        <w:rPr>
          <w:rFonts w:ascii="Times New Roman" w:eastAsia="TimesNRMTPro" w:hAnsi="Times New Roman"/>
          <w:szCs w:val="24"/>
          <w:lang w:val="en-GB"/>
        </w:rPr>
        <w:t>.</w:t>
      </w:r>
    </w:p>
    <w:p w:rsidR="000112DB" w:rsidRDefault="00F570DA" w:rsidP="007F38A7">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 xml:space="preserve">In European countries law courts will likely only apply </w:t>
      </w:r>
      <w:r w:rsidR="00887F30">
        <w:rPr>
          <w:rFonts w:ascii="Times New Roman" w:eastAsia="TimesNRMTPro" w:hAnsi="Times New Roman"/>
          <w:szCs w:val="24"/>
          <w:lang w:val="en-GB"/>
        </w:rPr>
        <w:t>national law to any dispute (given that the governing law of the contract is national law) and refuse to consider sharia compliance</w:t>
      </w:r>
      <w:r w:rsidR="00382C38">
        <w:rPr>
          <w:rFonts w:ascii="Times New Roman" w:eastAsia="TimesNRMTPro" w:hAnsi="Times New Roman"/>
          <w:szCs w:val="24"/>
          <w:lang w:val="en-GB"/>
        </w:rPr>
        <w:t>, though US bankruptcy courts are reported to be more willing to consider sharia considerations (McMillen</w:t>
      </w:r>
      <w:r w:rsidR="008F6475">
        <w:rPr>
          <w:rFonts w:ascii="Times New Roman" w:eastAsia="TimesNRMTPro" w:hAnsi="Times New Roman"/>
          <w:szCs w:val="24"/>
          <w:lang w:val="en-GB"/>
        </w:rPr>
        <w:t xml:space="preserve">, </w:t>
      </w:r>
      <w:r w:rsidR="00382C38">
        <w:rPr>
          <w:rFonts w:ascii="Times New Roman" w:eastAsia="TimesNRMTPro" w:hAnsi="Times New Roman"/>
          <w:szCs w:val="24"/>
          <w:lang w:val="en-GB"/>
        </w:rPr>
        <w:t>2015)</w:t>
      </w:r>
      <w:r w:rsidR="00887F30">
        <w:rPr>
          <w:rFonts w:ascii="Times New Roman" w:eastAsia="TimesNRMTPro" w:hAnsi="Times New Roman"/>
          <w:szCs w:val="24"/>
          <w:lang w:val="en-GB"/>
        </w:rPr>
        <w:t xml:space="preserve">. </w:t>
      </w:r>
      <w:r w:rsidR="00382C38">
        <w:rPr>
          <w:rFonts w:ascii="Times New Roman" w:eastAsia="TimesNRMTPro" w:hAnsi="Times New Roman"/>
          <w:szCs w:val="24"/>
          <w:lang w:val="en-GB"/>
        </w:rPr>
        <w:t xml:space="preserve">Where that is not the case </w:t>
      </w:r>
      <w:r w:rsidR="00887F30">
        <w:rPr>
          <w:rFonts w:ascii="Times New Roman" w:eastAsia="TimesNRMTPro" w:hAnsi="Times New Roman"/>
          <w:szCs w:val="24"/>
          <w:lang w:val="en-GB"/>
        </w:rPr>
        <w:t>parties can decide to take their case to an arbitration body (M</w:t>
      </w:r>
      <w:r w:rsidR="00382C38">
        <w:rPr>
          <w:rFonts w:ascii="Times New Roman" w:eastAsia="TimesNRMTPro" w:hAnsi="Times New Roman"/>
          <w:szCs w:val="24"/>
          <w:lang w:val="en-GB"/>
        </w:rPr>
        <w:t>o</w:t>
      </w:r>
      <w:r w:rsidR="00887F30">
        <w:rPr>
          <w:rFonts w:ascii="Times New Roman" w:eastAsia="TimesNRMTPro" w:hAnsi="Times New Roman"/>
          <w:szCs w:val="24"/>
          <w:lang w:val="en-GB"/>
        </w:rPr>
        <w:t>hammad</w:t>
      </w:r>
      <w:r w:rsidR="007F38A7">
        <w:rPr>
          <w:rFonts w:ascii="Times New Roman" w:eastAsia="TimesNRMTPro" w:hAnsi="Times New Roman"/>
          <w:szCs w:val="24"/>
          <w:lang w:val="en-GB"/>
        </w:rPr>
        <w:t>,</w:t>
      </w:r>
      <w:r w:rsidR="00887F30">
        <w:rPr>
          <w:rFonts w:ascii="Times New Roman" w:eastAsia="TimesNRMTPro" w:hAnsi="Times New Roman"/>
          <w:szCs w:val="24"/>
          <w:lang w:val="en-GB"/>
        </w:rPr>
        <w:t xml:space="preserve"> 2015).</w:t>
      </w:r>
    </w:p>
    <w:p w:rsidR="008D407A" w:rsidRDefault="00C50831" w:rsidP="00EE6C33">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 xml:space="preserve">Regulators may reduce </w:t>
      </w:r>
      <w:r w:rsidR="000112DB">
        <w:rPr>
          <w:rFonts w:ascii="Times New Roman" w:eastAsia="TimesNRMTPro" w:hAnsi="Times New Roman"/>
          <w:szCs w:val="24"/>
          <w:lang w:val="en-GB"/>
        </w:rPr>
        <w:t>sharia</w:t>
      </w:r>
      <w:r>
        <w:rPr>
          <w:rFonts w:ascii="Times New Roman" w:eastAsia="TimesNRMTPro" w:hAnsi="Times New Roman"/>
          <w:szCs w:val="24"/>
          <w:lang w:val="en-GB"/>
        </w:rPr>
        <w:t xml:space="preserve"> risk by requiring Islamic banks to have a sharia board that meets</w:t>
      </w:r>
      <w:r w:rsidR="006B2957">
        <w:rPr>
          <w:rFonts w:ascii="Times New Roman" w:eastAsia="TimesNRMTPro" w:hAnsi="Times New Roman"/>
          <w:szCs w:val="24"/>
          <w:lang w:val="en-GB"/>
        </w:rPr>
        <w:t xml:space="preserve">, for instance, </w:t>
      </w:r>
      <w:r w:rsidR="003E4933">
        <w:rPr>
          <w:rFonts w:ascii="Times New Roman" w:eastAsia="TimesNRMTPro" w:hAnsi="Times New Roman"/>
          <w:szCs w:val="24"/>
          <w:lang w:val="en-GB"/>
        </w:rPr>
        <w:t>AA</w:t>
      </w:r>
      <w:r>
        <w:rPr>
          <w:rFonts w:ascii="Times New Roman" w:eastAsia="TimesNRMTPro" w:hAnsi="Times New Roman"/>
          <w:szCs w:val="24"/>
          <w:lang w:val="en-GB"/>
        </w:rPr>
        <w:t>O</w:t>
      </w:r>
      <w:r w:rsidR="003E4933">
        <w:rPr>
          <w:rFonts w:ascii="Times New Roman" w:eastAsia="TimesNRMTPro" w:hAnsi="Times New Roman"/>
          <w:szCs w:val="24"/>
          <w:lang w:val="en-GB"/>
        </w:rPr>
        <w:t>I</w:t>
      </w:r>
      <w:r>
        <w:rPr>
          <w:rFonts w:ascii="Times New Roman" w:eastAsia="TimesNRMTPro" w:hAnsi="Times New Roman"/>
          <w:szCs w:val="24"/>
          <w:lang w:val="en-GB"/>
        </w:rPr>
        <w:t>FI Governance Standard</w:t>
      </w:r>
      <w:r w:rsidR="00CB09C3">
        <w:rPr>
          <w:rFonts w:ascii="Times New Roman" w:eastAsia="TimesNRMTPro" w:hAnsi="Times New Roman"/>
          <w:szCs w:val="24"/>
          <w:lang w:val="en-GB"/>
        </w:rPr>
        <w:t>s</w:t>
      </w:r>
      <w:r>
        <w:rPr>
          <w:rFonts w:ascii="Times New Roman" w:eastAsia="TimesNRMTPro" w:hAnsi="Times New Roman"/>
          <w:szCs w:val="24"/>
          <w:lang w:val="en-GB"/>
        </w:rPr>
        <w:t>. Usually, Islamic banks appoint a sharia board of their own accord, in order to give themselves a reliable image, and Muslim-majority countries tend to oblige them to do so, but there are exceptions, such as Tunisia and Turkey. Kenya is another c</w:t>
      </w:r>
      <w:r w:rsidR="00CA306A">
        <w:rPr>
          <w:rFonts w:ascii="Times New Roman" w:eastAsia="TimesNRMTPro" w:hAnsi="Times New Roman"/>
          <w:szCs w:val="24"/>
          <w:lang w:val="en-GB"/>
        </w:rPr>
        <w:t>ountry without obligatory sharia boards</w:t>
      </w:r>
      <w:r>
        <w:rPr>
          <w:rFonts w:ascii="Times New Roman" w:eastAsia="TimesNRMTPro" w:hAnsi="Times New Roman"/>
          <w:szCs w:val="24"/>
          <w:lang w:val="en-GB"/>
        </w:rPr>
        <w:t xml:space="preserve"> (Song and Oost</w:t>
      </w:r>
      <w:r w:rsidR="00064BFE">
        <w:rPr>
          <w:rFonts w:ascii="Times New Roman" w:eastAsia="TimesNRMTPro" w:hAnsi="Times New Roman"/>
          <w:szCs w:val="24"/>
          <w:lang w:val="en-GB"/>
        </w:rPr>
        <w:t>h</w:t>
      </w:r>
      <w:r>
        <w:rPr>
          <w:rFonts w:ascii="Times New Roman" w:eastAsia="TimesNRMTPro" w:hAnsi="Times New Roman"/>
          <w:szCs w:val="24"/>
          <w:lang w:val="en-GB"/>
        </w:rPr>
        <w:t>uizen 2014). Better not to leave it to the banks.</w:t>
      </w:r>
      <w:r w:rsidR="00CA306A">
        <w:rPr>
          <w:rFonts w:ascii="Times New Roman" w:eastAsia="TimesNRMTPro" w:hAnsi="Times New Roman"/>
          <w:szCs w:val="24"/>
          <w:lang w:val="en-GB"/>
        </w:rPr>
        <w:t xml:space="preserve"> Regulators might also consider imposing minimum requirements as to the educational background of </w:t>
      </w:r>
      <w:r w:rsidR="006B2957">
        <w:rPr>
          <w:rFonts w:ascii="Times New Roman" w:eastAsia="TimesNRMTPro" w:hAnsi="Times New Roman"/>
          <w:szCs w:val="24"/>
          <w:lang w:val="en-GB"/>
        </w:rPr>
        <w:t xml:space="preserve">the </w:t>
      </w:r>
      <w:r w:rsidR="00CA306A">
        <w:rPr>
          <w:rFonts w:ascii="Times New Roman" w:eastAsia="TimesNRMTPro" w:hAnsi="Times New Roman"/>
          <w:szCs w:val="24"/>
          <w:lang w:val="en-GB"/>
        </w:rPr>
        <w:t>employees of Islamic financial institutions. A lack of knowledge of Islamic law</w:t>
      </w:r>
      <w:r w:rsidR="00EE6C33">
        <w:rPr>
          <w:rFonts w:ascii="Times New Roman" w:eastAsia="TimesNRMTPro" w:hAnsi="Times New Roman"/>
          <w:szCs w:val="24"/>
          <w:lang w:val="en-GB"/>
        </w:rPr>
        <w:t xml:space="preserve"> on the side of employees</w:t>
      </w:r>
      <w:r w:rsidR="00CA306A">
        <w:rPr>
          <w:rFonts w:ascii="Times New Roman" w:eastAsia="TimesNRMTPro" w:hAnsi="Times New Roman"/>
          <w:szCs w:val="24"/>
          <w:lang w:val="en-GB"/>
        </w:rPr>
        <w:t xml:space="preserve"> </w:t>
      </w:r>
      <w:r w:rsidR="00EE6C33">
        <w:rPr>
          <w:rFonts w:ascii="Times New Roman" w:eastAsia="TimesNRMTPro" w:hAnsi="Times New Roman"/>
          <w:szCs w:val="24"/>
          <w:lang w:val="en-GB"/>
        </w:rPr>
        <w:t xml:space="preserve">increases the risk of  breaches of Islamic law. The Malaysian </w:t>
      </w:r>
      <w:r w:rsidR="00EE6C33" w:rsidRPr="00EE6C33">
        <w:rPr>
          <w:rFonts w:ascii="Times New Roman" w:eastAsia="TimesNRMTPro" w:hAnsi="Times New Roman"/>
          <w:i/>
          <w:szCs w:val="24"/>
          <w:lang w:val="en-GB"/>
        </w:rPr>
        <w:t>Islamic Financial Services Act</w:t>
      </w:r>
      <w:r w:rsidR="00EE6C33" w:rsidRPr="00EE6C33">
        <w:rPr>
          <w:rFonts w:ascii="Times New Roman" w:eastAsia="TimesNRMTPro" w:hAnsi="Times New Roman"/>
          <w:szCs w:val="24"/>
          <w:lang w:val="en-GB"/>
        </w:rPr>
        <w:t xml:space="preserve"> </w:t>
      </w:r>
      <w:r w:rsidR="00EE6C33" w:rsidRPr="00041CAC">
        <w:rPr>
          <w:rFonts w:ascii="Times New Roman" w:eastAsia="TimesNRMTPro" w:hAnsi="Times New Roman"/>
          <w:i/>
          <w:szCs w:val="24"/>
          <w:lang w:val="en-GB"/>
        </w:rPr>
        <w:t>2013</w:t>
      </w:r>
      <w:r w:rsidR="00EE6C33">
        <w:rPr>
          <w:rFonts w:ascii="Times New Roman" w:eastAsia="TimesNRMTPro" w:hAnsi="Times New Roman"/>
          <w:szCs w:val="24"/>
          <w:lang w:val="en-GB"/>
        </w:rPr>
        <w:t xml:space="preserve"> </w:t>
      </w:r>
      <w:r w:rsidR="00041CAC">
        <w:rPr>
          <w:rFonts w:ascii="Times New Roman" w:eastAsia="TimesNRMTPro" w:hAnsi="Times New Roman"/>
          <w:szCs w:val="24"/>
          <w:lang w:val="en-GB"/>
        </w:rPr>
        <w:t>(</w:t>
      </w:r>
      <w:r w:rsidR="00DE1F09">
        <w:rPr>
          <w:rFonts w:ascii="Times New Roman" w:eastAsia="TimesNRMTPro" w:hAnsi="Times New Roman"/>
          <w:szCs w:val="24"/>
          <w:lang w:val="en-GB"/>
        </w:rPr>
        <w:t xml:space="preserve">Bank Negara Malaysia, </w:t>
      </w:r>
      <w:r w:rsidR="00041CAC">
        <w:rPr>
          <w:rFonts w:ascii="Times New Roman" w:eastAsia="TimesNRMTPro" w:hAnsi="Times New Roman"/>
          <w:szCs w:val="24"/>
          <w:lang w:val="en-GB"/>
        </w:rPr>
        <w:t>2013), in particular Part IV on sharia requirements,</w:t>
      </w:r>
      <w:r w:rsidR="003E37B3">
        <w:rPr>
          <w:rFonts w:ascii="Times New Roman" w:eastAsia="TimesNRMTPro" w:hAnsi="Times New Roman"/>
          <w:szCs w:val="24"/>
          <w:lang w:val="en-GB"/>
        </w:rPr>
        <w:t xml:space="preserve"> provides an example of how to l</w:t>
      </w:r>
      <w:r w:rsidR="00041CAC">
        <w:rPr>
          <w:rFonts w:ascii="Times New Roman" w:eastAsia="TimesNRMTPro" w:hAnsi="Times New Roman"/>
          <w:szCs w:val="24"/>
          <w:lang w:val="en-GB"/>
        </w:rPr>
        <w:t xml:space="preserve">ay down rules for minimizing sharia risk. </w:t>
      </w:r>
    </w:p>
    <w:p w:rsidR="008F6475" w:rsidRDefault="008F6475" w:rsidP="00EE6C33">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 xml:space="preserve">Regulators should look critically at the composition and the role of a bank’s sharia board. If they have a directorship role, their capability as bankers may not meet a supervisor’s standard. Furthermore, given the scarcity of competent sharia board members, there is a high probability that any board member also serves on the sharia boards of other financial institutions, which may lead to conflicts of interest if they </w:t>
      </w:r>
      <w:r w:rsidR="001F1549">
        <w:rPr>
          <w:rFonts w:ascii="Times New Roman" w:eastAsia="TimesNRMTPro" w:hAnsi="Times New Roman"/>
          <w:szCs w:val="24"/>
          <w:lang w:val="en-GB"/>
        </w:rPr>
        <w:t xml:space="preserve">act as a director (Kettell, 2011). </w:t>
      </w:r>
    </w:p>
    <w:p w:rsidR="00E87B43" w:rsidRDefault="00F534B3" w:rsidP="00F534B3">
      <w:pPr>
        <w:spacing w:line="288" w:lineRule="auto"/>
        <w:ind w:firstLine="210"/>
        <w:rPr>
          <w:rFonts w:ascii="Times New Roman" w:eastAsia="TimesNRMTPro" w:hAnsi="Times New Roman"/>
          <w:szCs w:val="24"/>
          <w:lang w:val="en-GB"/>
        </w:rPr>
      </w:pPr>
      <w:r>
        <w:rPr>
          <w:rFonts w:ascii="Times New Roman" w:eastAsia="TimesNRMTPro" w:hAnsi="Times New Roman"/>
          <w:szCs w:val="24"/>
          <w:lang w:val="en-GB"/>
        </w:rPr>
        <w:t>An Islamic financial institution’s sharia risk can never be reduced to zero and regulators and supervisors would have to ask themselves whether to impose higher capital-asset and liquidiy ratios to cope with that risk. These might be variable, depending for instance on the track record of any parent companies.</w:t>
      </w:r>
    </w:p>
    <w:p w:rsidR="00F534B3" w:rsidRDefault="00F534B3" w:rsidP="00632369">
      <w:pPr>
        <w:spacing w:line="288" w:lineRule="auto"/>
        <w:rPr>
          <w:rFonts w:ascii="Times New Roman" w:eastAsia="TimesNRMTPro" w:hAnsi="Times New Roman"/>
          <w:szCs w:val="24"/>
          <w:lang w:val="en-GB"/>
        </w:rPr>
      </w:pPr>
    </w:p>
    <w:p w:rsidR="00064BFE" w:rsidRPr="007F38A7" w:rsidRDefault="007F38A7" w:rsidP="00632369">
      <w:pPr>
        <w:spacing w:line="288" w:lineRule="auto"/>
        <w:rPr>
          <w:rFonts w:ascii="Times New Roman" w:eastAsia="TimesNRMTPro" w:hAnsi="Times New Roman"/>
          <w:b/>
          <w:szCs w:val="24"/>
          <w:lang w:val="en-GB"/>
        </w:rPr>
      </w:pPr>
      <w:r w:rsidRPr="007F38A7">
        <w:rPr>
          <w:rFonts w:ascii="Times New Roman" w:eastAsia="TimesNRMTPro" w:hAnsi="Times New Roman"/>
          <w:b/>
          <w:szCs w:val="24"/>
          <w:lang w:val="en-GB"/>
        </w:rPr>
        <w:t>11.</w:t>
      </w:r>
      <w:r w:rsidR="00F66CF5" w:rsidRPr="007F38A7">
        <w:rPr>
          <w:rFonts w:ascii="Times New Roman" w:eastAsia="TimesNRMTPro" w:hAnsi="Times New Roman"/>
          <w:b/>
          <w:szCs w:val="24"/>
          <w:lang w:val="en-GB"/>
        </w:rPr>
        <w:t>Final observations</w:t>
      </w:r>
    </w:p>
    <w:p w:rsidR="00064BFE" w:rsidRPr="00064BFE" w:rsidRDefault="00064BFE" w:rsidP="00632369">
      <w:pPr>
        <w:spacing w:line="288" w:lineRule="auto"/>
        <w:rPr>
          <w:rFonts w:ascii="Times New Roman" w:eastAsia="TimesNRMTPro" w:hAnsi="Times New Roman"/>
          <w:szCs w:val="24"/>
          <w:lang w:val="en-GB"/>
        </w:rPr>
      </w:pPr>
      <w:r>
        <w:rPr>
          <w:rFonts w:ascii="Times New Roman" w:eastAsia="TimesNRMTPro" w:hAnsi="Times New Roman"/>
          <w:szCs w:val="24"/>
          <w:lang w:val="en-GB"/>
        </w:rPr>
        <w:t>It will be clear that providing for Islamic financial institutions in a country’s banking laws and regulations is a complicated and time-consuming business.</w:t>
      </w:r>
      <w:r w:rsidR="00E1738E">
        <w:rPr>
          <w:rFonts w:ascii="Times New Roman" w:eastAsia="TimesNRMTPro" w:hAnsi="Times New Roman"/>
          <w:szCs w:val="24"/>
          <w:lang w:val="en-GB"/>
        </w:rPr>
        <w:t xml:space="preserve"> It may not always be possible to fit all forms of Islamic finance in the national regulatory framework and sometimes compromises will be inevitable, </w:t>
      </w:r>
      <w:r w:rsidR="003E37B3">
        <w:rPr>
          <w:rFonts w:ascii="Times New Roman" w:eastAsia="TimesNRMTPro" w:hAnsi="Times New Roman"/>
          <w:szCs w:val="24"/>
          <w:lang w:val="en-GB"/>
        </w:rPr>
        <w:t>with</w:t>
      </w:r>
      <w:r w:rsidR="006B2957" w:rsidRPr="006B2957">
        <w:rPr>
          <w:rFonts w:ascii="Times New Roman" w:eastAsia="TimesNRMTPro" w:hAnsi="Times New Roman"/>
          <w:szCs w:val="24"/>
          <w:lang w:val="en-GB"/>
        </w:rPr>
        <w:t xml:space="preserve"> </w:t>
      </w:r>
      <w:r w:rsidR="006B2957">
        <w:rPr>
          <w:rFonts w:ascii="Times New Roman" w:eastAsia="TimesNRMTPro" w:hAnsi="Times New Roman"/>
          <w:szCs w:val="24"/>
          <w:lang w:val="en-GB"/>
        </w:rPr>
        <w:t>Islamic financial institutions having to apply</w:t>
      </w:r>
      <w:r w:rsidR="003E37B3">
        <w:rPr>
          <w:rFonts w:ascii="Times New Roman" w:eastAsia="TimesNRMTPro" w:hAnsi="Times New Roman"/>
          <w:szCs w:val="24"/>
          <w:lang w:val="en-GB"/>
        </w:rPr>
        <w:t xml:space="preserve"> </w:t>
      </w:r>
      <w:r w:rsidR="003E37B3" w:rsidRPr="007F38A7">
        <w:rPr>
          <w:rFonts w:ascii="Times New Roman" w:eastAsia="TimesNRMTPro" w:hAnsi="Times New Roman"/>
          <w:szCs w:val="24"/>
          <w:lang w:val="en-GB"/>
        </w:rPr>
        <w:t xml:space="preserve">darura </w:t>
      </w:r>
      <w:r w:rsidR="003E37B3">
        <w:rPr>
          <w:rFonts w:ascii="Times New Roman" w:eastAsia="TimesNRMTPro" w:hAnsi="Times New Roman"/>
          <w:szCs w:val="24"/>
          <w:lang w:val="en-GB"/>
        </w:rPr>
        <w:t xml:space="preserve">and </w:t>
      </w:r>
      <w:r w:rsidR="003E37B3" w:rsidRPr="007F38A7">
        <w:rPr>
          <w:rFonts w:ascii="Times New Roman" w:eastAsia="TimesNRMTPro" w:hAnsi="Times New Roman"/>
          <w:szCs w:val="24"/>
          <w:lang w:val="en-GB"/>
        </w:rPr>
        <w:t xml:space="preserve">maslaha </w:t>
      </w:r>
      <w:r w:rsidR="006B2957">
        <w:rPr>
          <w:rFonts w:ascii="Times New Roman" w:eastAsia="TimesNRMTPro" w:hAnsi="Times New Roman"/>
          <w:szCs w:val="24"/>
          <w:lang w:val="en-GB"/>
        </w:rPr>
        <w:t>considerations.</w:t>
      </w:r>
      <w:r>
        <w:rPr>
          <w:rFonts w:ascii="Times New Roman" w:eastAsia="TimesNRMTPro" w:hAnsi="Times New Roman"/>
          <w:szCs w:val="24"/>
          <w:lang w:val="en-GB"/>
        </w:rPr>
        <w:t xml:space="preserve"> When considering special capital-asset and liquidity ratios it should be taken into account that Islamic banks weathered the 2008 financial crisis relatively well</w:t>
      </w:r>
      <w:r w:rsidR="00C56FF0">
        <w:rPr>
          <w:rFonts w:ascii="Times New Roman" w:eastAsia="TimesNRMTPro" w:hAnsi="Times New Roman"/>
          <w:szCs w:val="24"/>
          <w:lang w:val="en-GB"/>
        </w:rPr>
        <w:t xml:space="preserve"> (Beck et al.</w:t>
      </w:r>
      <w:r w:rsidR="007F38A7">
        <w:rPr>
          <w:rFonts w:ascii="Times New Roman" w:eastAsia="TimesNRMTPro" w:hAnsi="Times New Roman"/>
          <w:szCs w:val="24"/>
          <w:lang w:val="en-GB"/>
        </w:rPr>
        <w:t>,</w:t>
      </w:r>
      <w:r w:rsidR="00C56FF0">
        <w:rPr>
          <w:rFonts w:ascii="Times New Roman" w:eastAsia="TimesNRMTPro" w:hAnsi="Times New Roman"/>
          <w:szCs w:val="24"/>
          <w:lang w:val="en-GB"/>
        </w:rPr>
        <w:t xml:space="preserve"> 2013)</w:t>
      </w:r>
      <w:r>
        <w:rPr>
          <w:rFonts w:ascii="Times New Roman" w:eastAsia="TimesNRMTPro" w:hAnsi="Times New Roman"/>
          <w:szCs w:val="24"/>
          <w:lang w:val="en-GB"/>
        </w:rPr>
        <w:t>, that they do not engage in complicated derivatives deals and that there is some indication of low credit risk</w:t>
      </w:r>
      <w:r w:rsidR="007F38A7">
        <w:rPr>
          <w:rFonts w:ascii="Times New Roman" w:eastAsia="TimesNRMTPro" w:hAnsi="Times New Roman"/>
          <w:szCs w:val="24"/>
          <w:lang w:val="en-GB"/>
        </w:rPr>
        <w:t>,</w:t>
      </w:r>
      <w:r w:rsidR="006B2957">
        <w:rPr>
          <w:rFonts w:ascii="Times New Roman" w:eastAsia="TimesNRMTPro" w:hAnsi="Times New Roman"/>
          <w:szCs w:val="24"/>
          <w:lang w:val="en-GB"/>
        </w:rPr>
        <w:t xml:space="preserve"> </w:t>
      </w:r>
      <w:r w:rsidR="00C56FF0">
        <w:rPr>
          <w:rFonts w:ascii="Times New Roman" w:eastAsia="TimesNRMTPro" w:hAnsi="Times New Roman"/>
          <w:szCs w:val="24"/>
          <w:lang w:val="en-GB"/>
        </w:rPr>
        <w:t>though</w:t>
      </w:r>
      <w:r w:rsidR="007F38A7">
        <w:rPr>
          <w:rFonts w:ascii="Times New Roman" w:eastAsia="TimesNRMTPro" w:hAnsi="Times New Roman"/>
          <w:szCs w:val="24"/>
          <w:lang w:val="en-GB"/>
        </w:rPr>
        <w:t xml:space="preserve"> admittedly</w:t>
      </w:r>
      <w:r w:rsidR="00C56FF0">
        <w:rPr>
          <w:rFonts w:ascii="Times New Roman" w:eastAsia="TimesNRMTPro" w:hAnsi="Times New Roman"/>
          <w:szCs w:val="24"/>
          <w:lang w:val="en-GB"/>
        </w:rPr>
        <w:t xml:space="preserve"> the evidence is mixed </w:t>
      </w:r>
      <w:r w:rsidR="007F38A7">
        <w:rPr>
          <w:rFonts w:ascii="Times New Roman" w:eastAsia="TimesNRMTPro" w:hAnsi="Times New Roman"/>
          <w:szCs w:val="24"/>
          <w:lang w:val="en-GB"/>
        </w:rPr>
        <w:t>(</w:t>
      </w:r>
      <w:r w:rsidR="00C56FF0">
        <w:rPr>
          <w:rFonts w:ascii="Times New Roman" w:eastAsia="TimesNRMTPro" w:hAnsi="Times New Roman"/>
          <w:szCs w:val="24"/>
          <w:lang w:val="en-GB"/>
        </w:rPr>
        <w:t>Kabir et al.</w:t>
      </w:r>
      <w:r w:rsidR="007F38A7">
        <w:rPr>
          <w:rFonts w:ascii="Times New Roman" w:eastAsia="TimesNRMTPro" w:hAnsi="Times New Roman"/>
          <w:szCs w:val="24"/>
          <w:lang w:val="en-GB"/>
        </w:rPr>
        <w:t>,</w:t>
      </w:r>
      <w:r w:rsidR="00C56FF0">
        <w:rPr>
          <w:rFonts w:ascii="Times New Roman" w:eastAsia="TimesNRMTPro" w:hAnsi="Times New Roman"/>
          <w:szCs w:val="24"/>
          <w:lang w:val="en-GB"/>
        </w:rPr>
        <w:t xml:space="preserve"> 2015).</w:t>
      </w:r>
      <w:r>
        <w:rPr>
          <w:rFonts w:ascii="Times New Roman" w:eastAsia="TimesNRMTPro" w:hAnsi="Times New Roman"/>
          <w:szCs w:val="24"/>
          <w:lang w:val="en-GB"/>
        </w:rPr>
        <w:t xml:space="preserve"> </w:t>
      </w:r>
      <w:r w:rsidR="00E1738E">
        <w:rPr>
          <w:rFonts w:ascii="Times New Roman" w:eastAsia="TimesNRMTPro" w:hAnsi="Times New Roman"/>
          <w:szCs w:val="24"/>
          <w:lang w:val="en-GB"/>
        </w:rPr>
        <w:t>T</w:t>
      </w:r>
      <w:r w:rsidR="007F38A7">
        <w:rPr>
          <w:rFonts w:ascii="Times New Roman" w:eastAsia="TimesNRMTPro" w:hAnsi="Times New Roman"/>
          <w:szCs w:val="24"/>
          <w:lang w:val="en-GB"/>
        </w:rPr>
        <w:t>hat might more or less neutraliz</w:t>
      </w:r>
      <w:r w:rsidR="00E1738E">
        <w:rPr>
          <w:rFonts w:ascii="Times New Roman" w:eastAsia="TimesNRMTPro" w:hAnsi="Times New Roman"/>
          <w:szCs w:val="24"/>
          <w:lang w:val="en-GB"/>
        </w:rPr>
        <w:t>e the risks specific to Islamic financial institutions.</w:t>
      </w:r>
      <w:r w:rsidR="003E37B3">
        <w:rPr>
          <w:rFonts w:ascii="Times New Roman" w:eastAsia="TimesNRMTPro" w:hAnsi="Times New Roman"/>
          <w:szCs w:val="24"/>
          <w:lang w:val="en-GB"/>
        </w:rPr>
        <w:t xml:space="preserve"> It all involves a lot of work, but the task can be made more manageable by learning fro</w:t>
      </w:r>
      <w:r w:rsidR="006B2957">
        <w:rPr>
          <w:rFonts w:ascii="Times New Roman" w:eastAsia="TimesNRMTPro" w:hAnsi="Times New Roman"/>
          <w:szCs w:val="24"/>
          <w:lang w:val="en-GB"/>
        </w:rPr>
        <w:t>m the experience of others and applying availa</w:t>
      </w:r>
      <w:r w:rsidR="007F38A7">
        <w:rPr>
          <w:rFonts w:ascii="Times New Roman" w:eastAsia="TimesNRMTPro" w:hAnsi="Times New Roman"/>
          <w:szCs w:val="24"/>
          <w:lang w:val="en-GB"/>
        </w:rPr>
        <w:t>b</w:t>
      </w:r>
      <w:r w:rsidR="006B2957">
        <w:rPr>
          <w:rFonts w:ascii="Times New Roman" w:eastAsia="TimesNRMTPro" w:hAnsi="Times New Roman"/>
          <w:szCs w:val="24"/>
          <w:lang w:val="en-GB"/>
        </w:rPr>
        <w:t>le standards and guidelines</w:t>
      </w:r>
      <w:r w:rsidR="003E37B3">
        <w:rPr>
          <w:rFonts w:ascii="Times New Roman" w:eastAsia="TimesNRMTPro" w:hAnsi="Times New Roman"/>
          <w:szCs w:val="24"/>
          <w:lang w:val="en-GB"/>
        </w:rPr>
        <w:t>.</w:t>
      </w:r>
    </w:p>
    <w:p w:rsidR="0039498B" w:rsidRDefault="0039498B" w:rsidP="00382C38">
      <w:pPr>
        <w:spacing w:line="288" w:lineRule="auto"/>
        <w:rPr>
          <w:rFonts w:ascii="Times New Roman" w:eastAsia="TimesNRMTPro" w:hAnsi="Times New Roman"/>
          <w:szCs w:val="24"/>
          <w:lang w:val="en-GB"/>
        </w:rPr>
      </w:pPr>
    </w:p>
    <w:p w:rsidR="006B2957" w:rsidRDefault="006B2957" w:rsidP="006B2957">
      <w:pPr>
        <w:spacing w:line="288" w:lineRule="auto"/>
        <w:rPr>
          <w:rFonts w:ascii="Times New Roman" w:eastAsia="TimesNRMTPro" w:hAnsi="Times New Roman"/>
          <w:szCs w:val="24"/>
          <w:u w:val="single"/>
          <w:lang w:val="en-GB"/>
        </w:rPr>
      </w:pPr>
    </w:p>
    <w:p w:rsidR="0061646B" w:rsidRPr="00CB720E" w:rsidRDefault="0061646B" w:rsidP="006B2957">
      <w:pPr>
        <w:spacing w:line="288" w:lineRule="auto"/>
        <w:rPr>
          <w:rFonts w:ascii="Times New Roman" w:eastAsia="TimesNRMTPro" w:hAnsi="Times New Roman"/>
          <w:b/>
          <w:szCs w:val="24"/>
          <w:lang w:val="en-GB"/>
        </w:rPr>
      </w:pPr>
      <w:r w:rsidRPr="00CB720E">
        <w:rPr>
          <w:rFonts w:ascii="Times New Roman" w:eastAsia="TimesNRMTPro" w:hAnsi="Times New Roman"/>
          <w:b/>
          <w:szCs w:val="24"/>
          <w:lang w:val="en-GB"/>
        </w:rPr>
        <w:t xml:space="preserve">References </w:t>
      </w:r>
    </w:p>
    <w:p w:rsidR="000C498A" w:rsidRDefault="000C498A" w:rsidP="00D20932">
      <w:pPr>
        <w:spacing w:line="288" w:lineRule="auto"/>
        <w:rPr>
          <w:rFonts w:ascii="Times New Roman" w:hAnsi="Times New Roman"/>
          <w:lang w:val="en-GB"/>
        </w:rPr>
      </w:pPr>
    </w:p>
    <w:p w:rsidR="000C498A" w:rsidRDefault="000C498A" w:rsidP="00551520">
      <w:pPr>
        <w:spacing w:line="288" w:lineRule="auto"/>
        <w:rPr>
          <w:rFonts w:ascii="Times New Roman" w:hAnsi="Times New Roman"/>
          <w:lang w:val="en-GB"/>
        </w:rPr>
      </w:pPr>
      <w:r>
        <w:rPr>
          <w:rFonts w:ascii="Times New Roman" w:hAnsi="Times New Roman"/>
          <w:lang w:val="en-GB"/>
        </w:rPr>
        <w:t xml:space="preserve">AAOIFI </w:t>
      </w:r>
      <w:r w:rsidR="00551520">
        <w:rPr>
          <w:rFonts w:ascii="Times New Roman" w:hAnsi="Times New Roman"/>
          <w:lang w:val="en-GB"/>
        </w:rPr>
        <w:t>(</w:t>
      </w:r>
      <w:r>
        <w:rPr>
          <w:rFonts w:ascii="Times New Roman" w:hAnsi="Times New Roman"/>
          <w:lang w:val="en-GB"/>
        </w:rPr>
        <w:t>2017</w:t>
      </w:r>
      <w:r w:rsidR="00551520">
        <w:rPr>
          <w:rFonts w:ascii="Times New Roman" w:hAnsi="Times New Roman"/>
          <w:lang w:val="en-GB"/>
        </w:rPr>
        <w:t xml:space="preserve">), </w:t>
      </w:r>
      <w:r>
        <w:rPr>
          <w:rFonts w:ascii="Times New Roman" w:hAnsi="Times New Roman"/>
          <w:lang w:val="en-GB"/>
        </w:rPr>
        <w:t xml:space="preserve"> </w:t>
      </w:r>
      <w:r w:rsidR="00551520" w:rsidRPr="00551520">
        <w:rPr>
          <w:rFonts w:ascii="Times New Roman" w:hAnsi="Times New Roman"/>
          <w:i/>
          <w:iCs/>
          <w:lang w:val="en-GB"/>
        </w:rPr>
        <w:t>Financial Accounting Standard No. 30, Impairment and credit losses</w:t>
      </w:r>
      <w:r w:rsidR="00551520">
        <w:rPr>
          <w:rFonts w:ascii="Times New Roman" w:hAnsi="Times New Roman"/>
          <w:lang w:val="en-GB"/>
        </w:rPr>
        <w:t xml:space="preserve">, </w:t>
      </w:r>
      <w:r w:rsidR="00551520" w:rsidRPr="00551520">
        <w:rPr>
          <w:rFonts w:ascii="Times New Roman" w:hAnsi="Times New Roman"/>
          <w:lang w:val="en-GB"/>
        </w:rPr>
        <w:t>Exposure Draft (ver. 5.0)</w:t>
      </w:r>
      <w:r w:rsidR="00551520">
        <w:rPr>
          <w:rFonts w:ascii="Times New Roman" w:hAnsi="Times New Roman"/>
          <w:lang w:val="en-GB"/>
        </w:rPr>
        <w:t>.</w:t>
      </w:r>
    </w:p>
    <w:p w:rsidR="000C498A" w:rsidRDefault="000C498A" w:rsidP="00D20932">
      <w:pPr>
        <w:spacing w:line="288" w:lineRule="auto"/>
        <w:rPr>
          <w:rFonts w:ascii="Times New Roman" w:hAnsi="Times New Roman"/>
          <w:lang w:val="en-GB"/>
        </w:rPr>
      </w:pPr>
    </w:p>
    <w:p w:rsidR="00D20932" w:rsidRDefault="00D20932" w:rsidP="00D20932">
      <w:pPr>
        <w:spacing w:line="288" w:lineRule="auto"/>
        <w:rPr>
          <w:rFonts w:ascii="Times New Roman" w:hAnsi="Times New Roman"/>
          <w:lang w:val="en-GB"/>
        </w:rPr>
      </w:pPr>
      <w:r w:rsidRPr="00560D2B">
        <w:rPr>
          <w:rFonts w:ascii="Times New Roman" w:hAnsi="Times New Roman"/>
          <w:lang w:val="en-GB"/>
        </w:rPr>
        <w:t>Addo Awadzi, E</w:t>
      </w:r>
      <w:r w:rsidR="002026F3">
        <w:rPr>
          <w:rFonts w:ascii="Times New Roman" w:hAnsi="Times New Roman"/>
          <w:lang w:val="en-GB"/>
        </w:rPr>
        <w:t>.,</w:t>
      </w:r>
      <w:r w:rsidRPr="00560D2B">
        <w:rPr>
          <w:rFonts w:ascii="Times New Roman" w:hAnsi="Times New Roman"/>
          <w:lang w:val="en-GB"/>
        </w:rPr>
        <w:t xml:space="preserve"> Chartouni</w:t>
      </w:r>
      <w:r w:rsidR="002026F3">
        <w:rPr>
          <w:rFonts w:ascii="Times New Roman" w:hAnsi="Times New Roman"/>
          <w:lang w:val="en-GB"/>
        </w:rPr>
        <w:t xml:space="preserve">, C. </w:t>
      </w:r>
      <w:r w:rsidRPr="00560D2B">
        <w:rPr>
          <w:rFonts w:ascii="Times New Roman" w:hAnsi="Times New Roman"/>
          <w:lang w:val="en-GB"/>
        </w:rPr>
        <w:t xml:space="preserve">and Tamez, </w:t>
      </w:r>
      <w:r w:rsidR="002026F3">
        <w:rPr>
          <w:rFonts w:ascii="Times New Roman" w:hAnsi="Times New Roman"/>
          <w:lang w:val="en-GB"/>
        </w:rPr>
        <w:t>M. (</w:t>
      </w:r>
      <w:r w:rsidRPr="00560D2B">
        <w:rPr>
          <w:rFonts w:ascii="Times New Roman" w:hAnsi="Times New Roman"/>
          <w:lang w:val="en-GB"/>
        </w:rPr>
        <w:t>2015</w:t>
      </w:r>
      <w:r w:rsidR="002026F3">
        <w:rPr>
          <w:rFonts w:ascii="Times New Roman" w:hAnsi="Times New Roman"/>
          <w:lang w:val="en-GB"/>
        </w:rPr>
        <w:t>)</w:t>
      </w:r>
      <w:r w:rsidRPr="00560D2B">
        <w:rPr>
          <w:rFonts w:ascii="Times New Roman" w:hAnsi="Times New Roman"/>
          <w:lang w:val="en-GB"/>
        </w:rPr>
        <w:t xml:space="preserve">, </w:t>
      </w:r>
      <w:r w:rsidR="002026F3">
        <w:rPr>
          <w:rFonts w:ascii="Times New Roman" w:hAnsi="Times New Roman"/>
          <w:lang w:val="en-GB"/>
        </w:rPr>
        <w:t>“</w:t>
      </w:r>
      <w:r w:rsidRPr="00560D2B">
        <w:rPr>
          <w:rFonts w:ascii="Times New Roman" w:hAnsi="Times New Roman"/>
          <w:lang w:val="en-GB"/>
        </w:rPr>
        <w:t>Resolution Frameworks for Islamic Banks</w:t>
      </w:r>
      <w:r w:rsidR="002026F3">
        <w:rPr>
          <w:rFonts w:ascii="Times New Roman" w:hAnsi="Times New Roman"/>
          <w:lang w:val="en-GB"/>
        </w:rPr>
        <w:t xml:space="preserve">”,  </w:t>
      </w:r>
      <w:r w:rsidRPr="00560D2B">
        <w:rPr>
          <w:rFonts w:ascii="Times New Roman" w:hAnsi="Times New Roman"/>
          <w:lang w:val="en-GB"/>
        </w:rPr>
        <w:t>Working Paper No. 15/247</w:t>
      </w:r>
      <w:r w:rsidR="002026F3">
        <w:rPr>
          <w:rFonts w:ascii="Times New Roman" w:hAnsi="Times New Roman"/>
          <w:lang w:val="en-GB"/>
        </w:rPr>
        <w:t>, IMF</w:t>
      </w:r>
      <w:r>
        <w:rPr>
          <w:rFonts w:ascii="Times New Roman" w:hAnsi="Times New Roman"/>
          <w:lang w:val="en-GB"/>
        </w:rPr>
        <w:t>.</w:t>
      </w:r>
    </w:p>
    <w:p w:rsidR="00324EB7" w:rsidRPr="00D20932" w:rsidRDefault="00324EB7" w:rsidP="00324EB7">
      <w:pPr>
        <w:spacing w:line="288" w:lineRule="auto"/>
        <w:rPr>
          <w:rFonts w:ascii="Times New Roman" w:eastAsia="TimesNRMTPro" w:hAnsi="Times New Roman"/>
          <w:szCs w:val="24"/>
          <w:lang w:val="en-GB"/>
        </w:rPr>
      </w:pPr>
    </w:p>
    <w:p w:rsidR="00324EB7" w:rsidRPr="008808A9" w:rsidRDefault="00324EB7" w:rsidP="00324EB7">
      <w:pPr>
        <w:spacing w:line="288" w:lineRule="auto"/>
        <w:rPr>
          <w:rFonts w:ascii="Times New Roman" w:eastAsia="TimesNRMTPro" w:hAnsi="Times New Roman"/>
          <w:bCs/>
          <w:szCs w:val="24"/>
          <w:lang w:val="en-US"/>
        </w:rPr>
      </w:pPr>
      <w:r w:rsidRPr="008808A9">
        <w:rPr>
          <w:rFonts w:ascii="Times New Roman" w:eastAsia="TimesNRMTPro" w:hAnsi="Times New Roman"/>
          <w:szCs w:val="24"/>
          <w:lang w:val="en-US"/>
        </w:rPr>
        <w:t>Abu Umar Faruq</w:t>
      </w:r>
      <w:r>
        <w:rPr>
          <w:rFonts w:ascii="Times New Roman" w:eastAsia="TimesNRMTPro" w:hAnsi="Times New Roman"/>
          <w:szCs w:val="24"/>
          <w:lang w:val="en-US"/>
        </w:rPr>
        <w:t>,</w:t>
      </w:r>
      <w:r w:rsidR="002026F3">
        <w:rPr>
          <w:rFonts w:ascii="Times New Roman" w:eastAsia="TimesNRMTPro" w:hAnsi="Times New Roman"/>
          <w:szCs w:val="24"/>
          <w:lang w:val="en-US"/>
        </w:rPr>
        <w:t xml:space="preserve"> A.</w:t>
      </w:r>
      <w:r>
        <w:rPr>
          <w:rFonts w:ascii="Times New Roman" w:eastAsia="TimesNRMTPro" w:hAnsi="Times New Roman"/>
          <w:szCs w:val="24"/>
          <w:lang w:val="en-US"/>
        </w:rPr>
        <w:t xml:space="preserve"> </w:t>
      </w:r>
      <w:r w:rsidR="002026F3">
        <w:rPr>
          <w:rFonts w:ascii="Times New Roman" w:eastAsia="TimesNRMTPro" w:hAnsi="Times New Roman"/>
          <w:szCs w:val="24"/>
          <w:lang w:val="en-US"/>
        </w:rPr>
        <w:t>(</w:t>
      </w:r>
      <w:r>
        <w:rPr>
          <w:rFonts w:ascii="Times New Roman" w:eastAsia="TimesNRMTPro" w:hAnsi="Times New Roman"/>
          <w:szCs w:val="24"/>
          <w:lang w:val="en-US"/>
        </w:rPr>
        <w:t>2013</w:t>
      </w:r>
      <w:r w:rsidR="002026F3">
        <w:rPr>
          <w:rFonts w:ascii="Times New Roman" w:eastAsia="TimesNRMTPro" w:hAnsi="Times New Roman"/>
          <w:szCs w:val="24"/>
          <w:lang w:val="en-US"/>
        </w:rPr>
        <w:t>)</w:t>
      </w:r>
      <w:r>
        <w:rPr>
          <w:rFonts w:ascii="Times New Roman" w:eastAsia="TimesNRMTPro" w:hAnsi="Times New Roman"/>
          <w:szCs w:val="24"/>
          <w:lang w:val="en-US"/>
        </w:rPr>
        <w:t>,</w:t>
      </w:r>
      <w:r w:rsidRPr="008808A9">
        <w:rPr>
          <w:rFonts w:ascii="Times New Roman" w:eastAsia="TimesNRMTPro" w:hAnsi="Times New Roman"/>
          <w:b/>
          <w:bCs/>
          <w:szCs w:val="24"/>
          <w:lang w:val="en-US"/>
        </w:rPr>
        <w:t xml:space="preserve"> </w:t>
      </w:r>
      <w:r w:rsidR="002026F3">
        <w:rPr>
          <w:rFonts w:ascii="Times New Roman" w:eastAsia="TimesNRMTPro" w:hAnsi="Times New Roman"/>
          <w:b/>
          <w:bCs/>
          <w:szCs w:val="24"/>
          <w:lang w:val="en-US"/>
        </w:rPr>
        <w:t>“</w:t>
      </w:r>
      <w:r w:rsidRPr="008808A9">
        <w:rPr>
          <w:rFonts w:ascii="Times New Roman" w:eastAsia="TimesNRMTPro" w:hAnsi="Times New Roman"/>
          <w:bCs/>
          <w:szCs w:val="24"/>
          <w:lang w:val="en-US"/>
        </w:rPr>
        <w:t>Regulatory Impediments to Islamic Finance: The UK</w:t>
      </w:r>
    </w:p>
    <w:p w:rsidR="00324EB7" w:rsidRDefault="00324EB7" w:rsidP="00324EB7">
      <w:pPr>
        <w:spacing w:line="288" w:lineRule="auto"/>
        <w:rPr>
          <w:rFonts w:ascii="Times New Roman" w:eastAsia="TimesNRMTPro" w:hAnsi="Times New Roman"/>
          <w:bCs/>
          <w:szCs w:val="24"/>
          <w:lang w:val="en-US"/>
        </w:rPr>
      </w:pPr>
      <w:r w:rsidRPr="008808A9">
        <w:rPr>
          <w:rFonts w:ascii="Times New Roman" w:eastAsia="TimesNRMTPro" w:hAnsi="Times New Roman"/>
          <w:bCs/>
          <w:szCs w:val="24"/>
          <w:lang w:val="en-US"/>
        </w:rPr>
        <w:t>and Australia Compared</w:t>
      </w:r>
      <w:r w:rsidR="002026F3">
        <w:rPr>
          <w:rFonts w:ascii="Times New Roman" w:eastAsia="TimesNRMTPro" w:hAnsi="Times New Roman"/>
          <w:bCs/>
          <w:szCs w:val="24"/>
          <w:lang w:val="en-US"/>
        </w:rPr>
        <w:t>”</w:t>
      </w:r>
      <w:r w:rsidRPr="008808A9">
        <w:rPr>
          <w:rFonts w:ascii="Times New Roman" w:eastAsia="TimesNRMTPro" w:hAnsi="Times New Roman"/>
          <w:bCs/>
          <w:i/>
          <w:szCs w:val="24"/>
          <w:lang w:val="en-US"/>
        </w:rPr>
        <w:t>, Journal of Islamic Economics, Banking and Finance</w:t>
      </w:r>
      <w:r w:rsidR="002026F3">
        <w:rPr>
          <w:rFonts w:ascii="Times New Roman" w:eastAsia="TimesNRMTPro" w:hAnsi="Times New Roman"/>
          <w:bCs/>
          <w:szCs w:val="24"/>
          <w:lang w:val="en-US"/>
        </w:rPr>
        <w:t>, Vol.</w:t>
      </w:r>
      <w:r>
        <w:rPr>
          <w:rFonts w:ascii="Times New Roman" w:eastAsia="TimesNRMTPro" w:hAnsi="Times New Roman"/>
          <w:bCs/>
          <w:szCs w:val="24"/>
          <w:lang w:val="en-US"/>
        </w:rPr>
        <w:t xml:space="preserve"> 9</w:t>
      </w:r>
      <w:r w:rsidR="002026F3">
        <w:rPr>
          <w:rFonts w:ascii="Times New Roman" w:eastAsia="TimesNRMTPro" w:hAnsi="Times New Roman"/>
          <w:bCs/>
          <w:szCs w:val="24"/>
          <w:lang w:val="en-US"/>
        </w:rPr>
        <w:t xml:space="preserve"> No. </w:t>
      </w:r>
      <w:r>
        <w:rPr>
          <w:rFonts w:ascii="Times New Roman" w:eastAsia="TimesNRMTPro" w:hAnsi="Times New Roman"/>
          <w:bCs/>
          <w:szCs w:val="24"/>
          <w:lang w:val="en-US"/>
        </w:rPr>
        <w:t xml:space="preserve">4, </w:t>
      </w:r>
      <w:r w:rsidR="002026F3">
        <w:rPr>
          <w:rFonts w:ascii="Times New Roman" w:eastAsia="TimesNRMTPro" w:hAnsi="Times New Roman"/>
          <w:bCs/>
          <w:szCs w:val="24"/>
          <w:lang w:val="en-US"/>
        </w:rPr>
        <w:t xml:space="preserve">pp. </w:t>
      </w:r>
      <w:r>
        <w:rPr>
          <w:rFonts w:ascii="Times New Roman" w:eastAsia="TimesNRMTPro" w:hAnsi="Times New Roman"/>
          <w:bCs/>
          <w:szCs w:val="24"/>
          <w:lang w:val="en-US"/>
        </w:rPr>
        <w:t>91-114.</w:t>
      </w:r>
    </w:p>
    <w:p w:rsidR="00EF189A" w:rsidRDefault="00EF189A" w:rsidP="006707C7">
      <w:pPr>
        <w:spacing w:line="288" w:lineRule="auto"/>
        <w:rPr>
          <w:rFonts w:ascii="Times New Roman" w:eastAsia="TimesNRMTPro" w:hAnsi="Times New Roman"/>
          <w:bCs/>
          <w:szCs w:val="24"/>
          <w:lang w:val="en-GB"/>
        </w:rPr>
      </w:pPr>
    </w:p>
    <w:p w:rsidR="006707C7" w:rsidRDefault="00EF189A" w:rsidP="006707C7">
      <w:pPr>
        <w:spacing w:line="288" w:lineRule="auto"/>
        <w:rPr>
          <w:rFonts w:ascii="Times New Roman" w:eastAsia="TimesNRMTPro" w:hAnsi="Times New Roman"/>
          <w:bCs/>
          <w:szCs w:val="24"/>
          <w:lang w:val="en-GB"/>
        </w:rPr>
      </w:pPr>
      <w:r w:rsidRPr="00EF189A">
        <w:rPr>
          <w:rFonts w:ascii="Times New Roman" w:eastAsia="TimesNRMTPro" w:hAnsi="Times New Roman"/>
          <w:bCs/>
          <w:szCs w:val="24"/>
          <w:lang w:val="en-GB"/>
        </w:rPr>
        <w:t>Ainley, M, Mashayekhi,</w:t>
      </w:r>
      <w:r w:rsidR="006F2ADD">
        <w:rPr>
          <w:rFonts w:ascii="Times New Roman" w:eastAsia="TimesNRMTPro" w:hAnsi="Times New Roman"/>
          <w:bCs/>
          <w:szCs w:val="24"/>
          <w:lang w:val="en-GB"/>
        </w:rPr>
        <w:t xml:space="preserve"> </w:t>
      </w:r>
      <w:r w:rsidR="002026F3">
        <w:rPr>
          <w:rFonts w:ascii="Times New Roman" w:eastAsia="TimesNRMTPro" w:hAnsi="Times New Roman"/>
          <w:bCs/>
          <w:szCs w:val="24"/>
          <w:lang w:val="en-GB"/>
        </w:rPr>
        <w:t>A.,</w:t>
      </w:r>
      <w:r w:rsidRPr="00EF189A">
        <w:rPr>
          <w:rFonts w:ascii="Times New Roman" w:eastAsia="TimesNRMTPro" w:hAnsi="Times New Roman"/>
          <w:bCs/>
          <w:szCs w:val="24"/>
          <w:lang w:val="en-GB"/>
        </w:rPr>
        <w:t xml:space="preserve"> Hicks, </w:t>
      </w:r>
      <w:r w:rsidR="002026F3">
        <w:rPr>
          <w:rFonts w:ascii="Times New Roman" w:eastAsia="TimesNRMTPro" w:hAnsi="Times New Roman"/>
          <w:bCs/>
          <w:szCs w:val="24"/>
          <w:lang w:val="en-GB"/>
        </w:rPr>
        <w:t xml:space="preserve">R., </w:t>
      </w:r>
      <w:r w:rsidRPr="00EF189A">
        <w:rPr>
          <w:rFonts w:ascii="Times New Roman" w:eastAsia="TimesNRMTPro" w:hAnsi="Times New Roman"/>
          <w:bCs/>
          <w:szCs w:val="24"/>
          <w:lang w:val="en-GB"/>
        </w:rPr>
        <w:t>Rahman</w:t>
      </w:r>
      <w:r w:rsidR="002026F3">
        <w:rPr>
          <w:rFonts w:ascii="Times New Roman" w:eastAsia="TimesNRMTPro" w:hAnsi="Times New Roman"/>
          <w:bCs/>
          <w:szCs w:val="24"/>
          <w:lang w:val="en-GB"/>
        </w:rPr>
        <w:t>, A.</w:t>
      </w:r>
      <w:r w:rsidRPr="00EF189A">
        <w:rPr>
          <w:rFonts w:ascii="Times New Roman" w:eastAsia="TimesNRMTPro" w:hAnsi="Times New Roman"/>
          <w:bCs/>
          <w:szCs w:val="24"/>
          <w:lang w:val="en-GB"/>
        </w:rPr>
        <w:t xml:space="preserve"> and Ravalia</w:t>
      </w:r>
      <w:r>
        <w:rPr>
          <w:rFonts w:ascii="Times New Roman" w:eastAsia="TimesNRMTPro" w:hAnsi="Times New Roman"/>
          <w:bCs/>
          <w:szCs w:val="24"/>
          <w:lang w:val="en-GB"/>
        </w:rPr>
        <w:t>,</w:t>
      </w:r>
      <w:r w:rsidRPr="00EF189A">
        <w:rPr>
          <w:rFonts w:ascii="Times New Roman" w:eastAsia="TimesNRMTPro" w:hAnsi="Times New Roman"/>
          <w:bCs/>
          <w:szCs w:val="24"/>
          <w:lang w:val="en-GB"/>
        </w:rPr>
        <w:t xml:space="preserve"> </w:t>
      </w:r>
      <w:r w:rsidR="002026F3">
        <w:rPr>
          <w:rFonts w:ascii="Times New Roman" w:eastAsia="TimesNRMTPro" w:hAnsi="Times New Roman"/>
          <w:bCs/>
          <w:szCs w:val="24"/>
          <w:lang w:val="en-GB"/>
        </w:rPr>
        <w:t>A. (</w:t>
      </w:r>
      <w:r w:rsidRPr="00EF189A">
        <w:rPr>
          <w:rFonts w:ascii="Times New Roman" w:eastAsia="TimesNRMTPro" w:hAnsi="Times New Roman"/>
          <w:bCs/>
          <w:szCs w:val="24"/>
          <w:lang w:val="en-GB"/>
        </w:rPr>
        <w:t>2007</w:t>
      </w:r>
      <w:r w:rsidR="002026F3">
        <w:rPr>
          <w:rFonts w:ascii="Times New Roman" w:eastAsia="TimesNRMTPro" w:hAnsi="Times New Roman"/>
          <w:bCs/>
          <w:szCs w:val="24"/>
          <w:lang w:val="en-GB"/>
        </w:rPr>
        <w:t>)</w:t>
      </w:r>
      <w:r w:rsidRPr="00EF189A">
        <w:rPr>
          <w:rFonts w:ascii="Times New Roman" w:eastAsia="TimesNRMTPro" w:hAnsi="Times New Roman"/>
          <w:bCs/>
          <w:szCs w:val="24"/>
          <w:lang w:val="en-GB"/>
        </w:rPr>
        <w:t xml:space="preserve">, </w:t>
      </w:r>
      <w:r w:rsidRPr="00EF189A">
        <w:rPr>
          <w:rFonts w:ascii="Times New Roman" w:eastAsia="TimesNRMTPro" w:hAnsi="Times New Roman"/>
          <w:bCs/>
          <w:i/>
          <w:szCs w:val="24"/>
          <w:lang w:val="en-GB"/>
        </w:rPr>
        <w:t>Islamic Finance in the UK: Regulation and Challenges</w:t>
      </w:r>
      <w:r w:rsidRPr="00EF189A">
        <w:rPr>
          <w:rFonts w:ascii="Times New Roman" w:eastAsia="TimesNRMTPro" w:hAnsi="Times New Roman"/>
          <w:bCs/>
          <w:szCs w:val="24"/>
          <w:lang w:val="en-GB"/>
        </w:rPr>
        <w:t>, Financial Services Authority</w:t>
      </w:r>
      <w:r>
        <w:rPr>
          <w:rFonts w:ascii="Times New Roman" w:eastAsia="TimesNRMTPro" w:hAnsi="Times New Roman"/>
          <w:bCs/>
          <w:szCs w:val="24"/>
          <w:lang w:val="en-GB"/>
        </w:rPr>
        <w:t>, London.</w:t>
      </w:r>
    </w:p>
    <w:p w:rsidR="000124D6" w:rsidRDefault="000124D6" w:rsidP="006707C7">
      <w:pPr>
        <w:spacing w:line="288" w:lineRule="auto"/>
        <w:rPr>
          <w:rFonts w:ascii="Times New Roman" w:eastAsia="TimesNRMTPro" w:hAnsi="Times New Roman"/>
          <w:bCs/>
          <w:szCs w:val="24"/>
          <w:lang w:val="en-GB"/>
        </w:rPr>
      </w:pPr>
    </w:p>
    <w:p w:rsidR="000124D6" w:rsidRDefault="000124D6" w:rsidP="006707C7">
      <w:pPr>
        <w:spacing w:line="288" w:lineRule="auto"/>
        <w:rPr>
          <w:rFonts w:ascii="Times New Roman" w:hAnsi="Times New Roman"/>
          <w:noProof w:val="0"/>
          <w:lang w:val="en-US"/>
        </w:rPr>
      </w:pPr>
      <w:r w:rsidRPr="000124D6">
        <w:rPr>
          <w:rFonts w:ascii="Times New Roman" w:hAnsi="Times New Roman"/>
          <w:noProof w:val="0"/>
          <w:lang w:val="en-US"/>
        </w:rPr>
        <w:t xml:space="preserve">Amin, </w:t>
      </w:r>
      <w:r>
        <w:rPr>
          <w:rFonts w:ascii="Times New Roman" w:hAnsi="Times New Roman"/>
          <w:noProof w:val="0"/>
          <w:lang w:val="en-US"/>
        </w:rPr>
        <w:t>M,</w:t>
      </w:r>
      <w:r w:rsidRPr="000124D6">
        <w:rPr>
          <w:rFonts w:ascii="Times New Roman" w:hAnsi="Times New Roman"/>
          <w:noProof w:val="0"/>
          <w:lang w:val="en-US"/>
        </w:rPr>
        <w:t xml:space="preserve"> </w:t>
      </w:r>
      <w:r>
        <w:rPr>
          <w:rFonts w:ascii="Times New Roman" w:hAnsi="Times New Roman"/>
          <w:noProof w:val="0"/>
          <w:lang w:val="en-US"/>
        </w:rPr>
        <w:t xml:space="preserve">(2015),  </w:t>
      </w:r>
      <w:r w:rsidR="00934977">
        <w:rPr>
          <w:rFonts w:ascii="Times New Roman" w:hAnsi="Times New Roman"/>
          <w:noProof w:val="0"/>
          <w:lang w:val="en-US"/>
        </w:rPr>
        <w:t>“</w:t>
      </w:r>
      <w:r w:rsidR="00934977" w:rsidRPr="00934977">
        <w:rPr>
          <w:rFonts w:ascii="Times New Roman" w:hAnsi="Times New Roman"/>
          <w:noProof w:val="0"/>
          <w:lang w:val="en-US"/>
        </w:rPr>
        <w:t>Accounting and Reporting Practices for Islamic Banks in UK and Overseas</w:t>
      </w:r>
      <w:r w:rsidR="00934977">
        <w:rPr>
          <w:rFonts w:ascii="Times New Roman" w:hAnsi="Times New Roman"/>
          <w:noProof w:val="0"/>
          <w:lang w:val="en-US"/>
        </w:rPr>
        <w:t>”,</w:t>
      </w:r>
      <w:r w:rsidR="00934977" w:rsidRPr="00934977">
        <w:rPr>
          <w:rFonts w:ascii="Times New Roman" w:hAnsi="Times New Roman"/>
          <w:noProof w:val="0"/>
          <w:lang w:val="en-US"/>
        </w:rPr>
        <w:t xml:space="preserve"> </w:t>
      </w:r>
      <w:r w:rsidRPr="000124D6">
        <w:rPr>
          <w:rFonts w:ascii="Times New Roman" w:hAnsi="Times New Roman"/>
          <w:i/>
          <w:noProof w:val="0"/>
          <w:lang w:val="en-US"/>
        </w:rPr>
        <w:t>New Horizon</w:t>
      </w:r>
      <w:r w:rsidR="00934977">
        <w:rPr>
          <w:rFonts w:ascii="Times New Roman" w:hAnsi="Times New Roman"/>
          <w:noProof w:val="0"/>
          <w:lang w:val="en-US"/>
        </w:rPr>
        <w:t>, No.</w:t>
      </w:r>
      <w:r w:rsidRPr="000124D6">
        <w:rPr>
          <w:rFonts w:ascii="Times New Roman" w:hAnsi="Times New Roman"/>
          <w:i/>
          <w:noProof w:val="0"/>
          <w:lang w:val="en-US"/>
        </w:rPr>
        <w:t xml:space="preserve"> </w:t>
      </w:r>
      <w:r w:rsidRPr="000124D6">
        <w:rPr>
          <w:rFonts w:ascii="Times New Roman" w:hAnsi="Times New Roman"/>
          <w:noProof w:val="0"/>
          <w:lang w:val="en-US"/>
        </w:rPr>
        <w:t>192</w:t>
      </w:r>
      <w:r w:rsidR="00934977">
        <w:rPr>
          <w:rFonts w:ascii="Times New Roman" w:hAnsi="Times New Roman"/>
          <w:noProof w:val="0"/>
          <w:lang w:val="en-US"/>
        </w:rPr>
        <w:t>, January – June.</w:t>
      </w:r>
    </w:p>
    <w:p w:rsidR="00AA75D5" w:rsidRDefault="00AA75D5" w:rsidP="006707C7">
      <w:pPr>
        <w:spacing w:line="288" w:lineRule="auto"/>
        <w:rPr>
          <w:rFonts w:ascii="Times New Roman" w:hAnsi="Times New Roman"/>
          <w:noProof w:val="0"/>
          <w:lang w:val="en-US"/>
        </w:rPr>
      </w:pP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AA75D5" w:rsidRPr="008A06E8" w:rsidTr="00AA75D5">
        <w:trPr>
          <w:trHeight w:val="1003"/>
        </w:trPr>
        <w:tc>
          <w:tcPr>
            <w:tcW w:w="9200" w:type="dxa"/>
          </w:tcPr>
          <w:p w:rsidR="00AA75D5" w:rsidRPr="00AA75D5" w:rsidRDefault="00AA75D5" w:rsidP="00AA75D5">
            <w:pPr>
              <w:spacing w:line="288" w:lineRule="auto"/>
              <w:rPr>
                <w:rFonts w:ascii="Times New Roman" w:hAnsi="Times New Roman"/>
                <w:noProof w:val="0"/>
                <w:lang w:val="en-GB"/>
              </w:rPr>
            </w:pPr>
            <w:r>
              <w:rPr>
                <w:rFonts w:ascii="Times New Roman" w:hAnsi="Times New Roman"/>
                <w:noProof w:val="0"/>
                <w:lang w:val="en-US"/>
              </w:rPr>
              <w:t xml:space="preserve">AOSSG (2015), </w:t>
            </w:r>
            <w:r w:rsidRPr="00AA75D5">
              <w:rPr>
                <w:rFonts w:ascii="Times New Roman" w:hAnsi="Times New Roman"/>
                <w:i/>
                <w:noProof w:val="0"/>
                <w:lang w:val="en-GB"/>
              </w:rPr>
              <w:t>Financial Reporting by Islamic Financial Institutions</w:t>
            </w:r>
            <w:r>
              <w:rPr>
                <w:rFonts w:ascii="Times New Roman" w:hAnsi="Times New Roman"/>
                <w:noProof w:val="0"/>
                <w:lang w:val="en-GB"/>
              </w:rPr>
              <w:t>, Asian-Oceanian Standard-Setters Group, available on</w:t>
            </w:r>
            <w:r w:rsidRPr="00AA75D5">
              <w:rPr>
                <w:rFonts w:ascii="Times New Roman" w:hAnsi="Times New Roman"/>
                <w:noProof w:val="0"/>
                <w:lang w:val="en-GB"/>
              </w:rPr>
              <w:t xml:space="preserve"> </w:t>
            </w:r>
            <w:r>
              <w:rPr>
                <w:rFonts w:ascii="Times New Roman" w:hAnsi="Times New Roman"/>
                <w:noProof w:val="0"/>
                <w:lang w:val="en-GB"/>
              </w:rPr>
              <w:t>www.aossg.org.</w:t>
            </w:r>
          </w:p>
        </w:tc>
      </w:tr>
    </w:tbl>
    <w:p w:rsidR="006707C7" w:rsidRDefault="006707C7" w:rsidP="006707C7">
      <w:pPr>
        <w:spacing w:line="288" w:lineRule="auto"/>
        <w:rPr>
          <w:rFonts w:ascii="Times New Roman" w:eastAsia="TimesNRMTPro" w:hAnsi="Times New Roman"/>
          <w:szCs w:val="24"/>
          <w:lang w:val="en-GB"/>
        </w:rPr>
      </w:pPr>
      <w:r>
        <w:rPr>
          <w:rFonts w:ascii="Times New Roman" w:eastAsia="TimesNRMTPro" w:hAnsi="Times New Roman"/>
          <w:szCs w:val="24"/>
          <w:lang w:val="en-GB"/>
        </w:rPr>
        <w:t>Bakar, M</w:t>
      </w:r>
      <w:r w:rsidR="006F2ADD">
        <w:rPr>
          <w:rFonts w:ascii="Times New Roman" w:eastAsia="TimesNRMTPro" w:hAnsi="Times New Roman"/>
          <w:szCs w:val="24"/>
          <w:lang w:val="en-GB"/>
        </w:rPr>
        <w:t>d.</w:t>
      </w:r>
      <w:r>
        <w:rPr>
          <w:rFonts w:ascii="Times New Roman" w:eastAsia="TimesNRMTPro" w:hAnsi="Times New Roman"/>
          <w:szCs w:val="24"/>
          <w:lang w:val="en-GB"/>
        </w:rPr>
        <w:t>D</w:t>
      </w:r>
      <w:r w:rsidR="006F2ADD">
        <w:rPr>
          <w:rFonts w:ascii="Times New Roman" w:eastAsia="TimesNRMTPro" w:hAnsi="Times New Roman"/>
          <w:szCs w:val="24"/>
          <w:lang w:val="en-GB"/>
        </w:rPr>
        <w:t xml:space="preserve">., </w:t>
      </w:r>
      <w:r>
        <w:rPr>
          <w:rFonts w:ascii="Times New Roman" w:eastAsia="TimesNRMTPro" w:hAnsi="Times New Roman"/>
          <w:szCs w:val="24"/>
          <w:lang w:val="en-GB"/>
        </w:rPr>
        <w:t>Alhabshi</w:t>
      </w:r>
      <w:r w:rsidR="000934C1">
        <w:rPr>
          <w:rFonts w:ascii="Times New Roman" w:eastAsia="TimesNRMTPro" w:hAnsi="Times New Roman"/>
          <w:szCs w:val="24"/>
          <w:lang w:val="en-GB"/>
        </w:rPr>
        <w:t xml:space="preserve"> S</w:t>
      </w:r>
      <w:r w:rsidR="00C3037B">
        <w:rPr>
          <w:rFonts w:ascii="Times New Roman" w:eastAsia="TimesNRMTPro" w:hAnsi="Times New Roman"/>
          <w:szCs w:val="24"/>
          <w:lang w:val="en-GB"/>
        </w:rPr>
        <w:t>.</w:t>
      </w:r>
      <w:r w:rsidR="000934C1">
        <w:rPr>
          <w:rFonts w:ascii="Times New Roman" w:eastAsia="TimesNRMTPro" w:hAnsi="Times New Roman"/>
          <w:szCs w:val="24"/>
          <w:lang w:val="en-GB"/>
        </w:rPr>
        <w:t>M.</w:t>
      </w:r>
      <w:r>
        <w:rPr>
          <w:rFonts w:ascii="Times New Roman" w:eastAsia="TimesNRMTPro" w:hAnsi="Times New Roman"/>
          <w:szCs w:val="24"/>
          <w:lang w:val="en-GB"/>
        </w:rPr>
        <w:t xml:space="preserve"> and Rahaman, </w:t>
      </w:r>
      <w:r w:rsidR="000934C1">
        <w:rPr>
          <w:rFonts w:ascii="Times New Roman" w:eastAsia="TimesNRMTPro" w:hAnsi="Times New Roman"/>
          <w:szCs w:val="24"/>
          <w:lang w:val="en-GB"/>
        </w:rPr>
        <w:t>E. (</w:t>
      </w:r>
      <w:r>
        <w:rPr>
          <w:rFonts w:ascii="Times New Roman" w:eastAsia="TimesNRMTPro" w:hAnsi="Times New Roman"/>
          <w:szCs w:val="24"/>
          <w:lang w:val="en-GB"/>
        </w:rPr>
        <w:t>2008</w:t>
      </w:r>
      <w:r w:rsidR="000934C1">
        <w:rPr>
          <w:rFonts w:ascii="Times New Roman" w:eastAsia="TimesNRMTPro" w:hAnsi="Times New Roman"/>
          <w:szCs w:val="24"/>
          <w:lang w:val="en-GB"/>
        </w:rPr>
        <w:t>)</w:t>
      </w:r>
      <w:r>
        <w:rPr>
          <w:rFonts w:ascii="Times New Roman" w:eastAsia="TimesNRMTPro" w:hAnsi="Times New Roman"/>
          <w:szCs w:val="24"/>
          <w:lang w:val="en-GB"/>
        </w:rPr>
        <w:t xml:space="preserve">, </w:t>
      </w:r>
      <w:r w:rsidR="000934C1">
        <w:rPr>
          <w:rFonts w:ascii="Times New Roman" w:eastAsia="TimesNRMTPro" w:hAnsi="Times New Roman"/>
          <w:i/>
          <w:szCs w:val="24"/>
          <w:lang w:val="en-GB"/>
        </w:rPr>
        <w:t>Islamic Banking and T</w:t>
      </w:r>
      <w:r>
        <w:rPr>
          <w:rFonts w:ascii="Times New Roman" w:eastAsia="TimesNRMTPro" w:hAnsi="Times New Roman"/>
          <w:i/>
          <w:szCs w:val="24"/>
          <w:lang w:val="en-GB"/>
        </w:rPr>
        <w:t>a</w:t>
      </w:r>
      <w:r w:rsidR="000934C1">
        <w:rPr>
          <w:rFonts w:ascii="Times New Roman" w:eastAsia="TimesNRMTPro" w:hAnsi="Times New Roman"/>
          <w:i/>
          <w:szCs w:val="24"/>
          <w:lang w:val="en-GB"/>
        </w:rPr>
        <w:t>k</w:t>
      </w:r>
      <w:r>
        <w:rPr>
          <w:rFonts w:ascii="Times New Roman" w:eastAsia="TimesNRMTPro" w:hAnsi="Times New Roman"/>
          <w:i/>
          <w:szCs w:val="24"/>
          <w:lang w:val="en-GB"/>
        </w:rPr>
        <w:t>aful – Products and Services</w:t>
      </w:r>
      <w:r>
        <w:rPr>
          <w:rFonts w:ascii="Times New Roman" w:eastAsia="TimesNRMTPro" w:hAnsi="Times New Roman"/>
          <w:szCs w:val="24"/>
          <w:lang w:val="en-GB"/>
        </w:rPr>
        <w:t>, CIMA Certificate in Islamic Finance, Study Guide 2, Chartered Institute of Management Accountants</w:t>
      </w:r>
      <w:r w:rsidR="000934C1">
        <w:rPr>
          <w:rFonts w:ascii="Times New Roman" w:eastAsia="TimesNRMTPro" w:hAnsi="Times New Roman"/>
          <w:szCs w:val="24"/>
          <w:lang w:val="en-GB"/>
        </w:rPr>
        <w:t xml:space="preserve"> (CIMA)</w:t>
      </w:r>
      <w:r>
        <w:rPr>
          <w:rFonts w:ascii="Times New Roman" w:eastAsia="TimesNRMTPro" w:hAnsi="Times New Roman"/>
          <w:szCs w:val="24"/>
          <w:lang w:val="en-GB"/>
        </w:rPr>
        <w:t>, London.</w:t>
      </w:r>
    </w:p>
    <w:p w:rsidR="0061646B" w:rsidRPr="006707C7" w:rsidRDefault="0061646B" w:rsidP="0061646B">
      <w:pPr>
        <w:spacing w:line="288" w:lineRule="auto"/>
        <w:rPr>
          <w:rFonts w:ascii="Times New Roman" w:hAnsi="Times New Roman"/>
          <w:noProof w:val="0"/>
          <w:lang w:val="en-GB"/>
        </w:rPr>
      </w:pPr>
    </w:p>
    <w:p w:rsidR="0061646B" w:rsidRPr="00AC307B" w:rsidRDefault="0061646B" w:rsidP="0061646B">
      <w:pPr>
        <w:spacing w:line="288" w:lineRule="auto"/>
        <w:rPr>
          <w:rFonts w:ascii="Times New Roman" w:eastAsia="TimesNRMTPro" w:hAnsi="Times New Roman"/>
          <w:szCs w:val="24"/>
          <w:lang w:val="en-GB"/>
        </w:rPr>
      </w:pPr>
      <w:r>
        <w:rPr>
          <w:rFonts w:ascii="Times New Roman" w:eastAsia="TimesNRMTPro" w:hAnsi="Times New Roman"/>
          <w:szCs w:val="24"/>
          <w:lang w:val="en-GB"/>
        </w:rPr>
        <w:t>Bakar, M</w:t>
      </w:r>
      <w:r w:rsidR="006F2ADD">
        <w:rPr>
          <w:rFonts w:ascii="Times New Roman" w:eastAsia="TimesNRMTPro" w:hAnsi="Times New Roman"/>
          <w:szCs w:val="24"/>
          <w:lang w:val="en-GB"/>
        </w:rPr>
        <w:t>d</w:t>
      </w:r>
      <w:r w:rsidR="000934C1">
        <w:rPr>
          <w:rFonts w:ascii="Times New Roman" w:eastAsia="TimesNRMTPro" w:hAnsi="Times New Roman"/>
          <w:szCs w:val="24"/>
          <w:lang w:val="en-GB"/>
        </w:rPr>
        <w:t>.</w:t>
      </w:r>
      <w:r>
        <w:rPr>
          <w:rFonts w:ascii="Times New Roman" w:eastAsia="TimesNRMTPro" w:hAnsi="Times New Roman"/>
          <w:szCs w:val="24"/>
          <w:lang w:val="en-GB"/>
        </w:rPr>
        <w:t>D</w:t>
      </w:r>
      <w:r w:rsidR="000934C1">
        <w:rPr>
          <w:rFonts w:ascii="Times New Roman" w:eastAsia="TimesNRMTPro" w:hAnsi="Times New Roman"/>
          <w:szCs w:val="24"/>
          <w:lang w:val="en-GB"/>
        </w:rPr>
        <w:t>.</w:t>
      </w:r>
      <w:r>
        <w:rPr>
          <w:rFonts w:ascii="Times New Roman" w:eastAsia="TimesNRMTPro" w:hAnsi="Times New Roman"/>
          <w:szCs w:val="24"/>
          <w:lang w:val="en-GB"/>
        </w:rPr>
        <w:t>, Alhabshi</w:t>
      </w:r>
      <w:r w:rsidR="000934C1">
        <w:rPr>
          <w:rFonts w:ascii="Times New Roman" w:eastAsia="TimesNRMTPro" w:hAnsi="Times New Roman"/>
          <w:szCs w:val="24"/>
          <w:lang w:val="en-GB"/>
        </w:rPr>
        <w:t>, S.M.</w:t>
      </w:r>
      <w:r>
        <w:rPr>
          <w:rFonts w:ascii="Times New Roman" w:eastAsia="TimesNRMTPro" w:hAnsi="Times New Roman"/>
          <w:szCs w:val="24"/>
          <w:lang w:val="en-GB"/>
        </w:rPr>
        <w:t xml:space="preserve"> and Rahaman</w:t>
      </w:r>
      <w:r w:rsidR="000934C1">
        <w:rPr>
          <w:rFonts w:ascii="Times New Roman" w:eastAsia="TimesNRMTPro" w:hAnsi="Times New Roman"/>
          <w:szCs w:val="24"/>
          <w:lang w:val="en-GB"/>
        </w:rPr>
        <w:t>, E.</w:t>
      </w:r>
      <w:r>
        <w:rPr>
          <w:rFonts w:ascii="Times New Roman" w:eastAsia="TimesNRMTPro" w:hAnsi="Times New Roman"/>
          <w:szCs w:val="24"/>
          <w:lang w:val="en-GB"/>
        </w:rPr>
        <w:t xml:space="preserve"> </w:t>
      </w:r>
      <w:r w:rsidR="000934C1">
        <w:rPr>
          <w:rFonts w:ascii="Times New Roman" w:eastAsia="TimesNRMTPro" w:hAnsi="Times New Roman"/>
          <w:szCs w:val="24"/>
          <w:lang w:val="en-GB"/>
        </w:rPr>
        <w:t>(</w:t>
      </w:r>
      <w:r>
        <w:rPr>
          <w:rFonts w:ascii="Times New Roman" w:eastAsia="TimesNRMTPro" w:hAnsi="Times New Roman"/>
          <w:szCs w:val="24"/>
          <w:lang w:val="en-GB"/>
        </w:rPr>
        <w:t>2009</w:t>
      </w:r>
      <w:r w:rsidR="000934C1">
        <w:rPr>
          <w:rFonts w:ascii="Times New Roman" w:eastAsia="TimesNRMTPro" w:hAnsi="Times New Roman"/>
          <w:szCs w:val="24"/>
          <w:lang w:val="en-GB"/>
        </w:rPr>
        <w:t>)</w:t>
      </w:r>
      <w:r>
        <w:rPr>
          <w:rFonts w:ascii="Times New Roman" w:eastAsia="TimesNRMTPro" w:hAnsi="Times New Roman"/>
          <w:szCs w:val="24"/>
          <w:lang w:val="en-GB"/>
        </w:rPr>
        <w:t xml:space="preserve">, </w:t>
      </w:r>
      <w:r>
        <w:rPr>
          <w:rFonts w:ascii="Times New Roman" w:eastAsia="TimesNRMTPro" w:hAnsi="Times New Roman"/>
          <w:i/>
          <w:szCs w:val="24"/>
          <w:lang w:val="en-GB"/>
        </w:rPr>
        <w:t>Professional Diploma in Islamic Finance; Structuring and Strategy</w:t>
      </w:r>
      <w:r>
        <w:rPr>
          <w:rFonts w:ascii="Times New Roman" w:eastAsia="TimesNRMTPro" w:hAnsi="Times New Roman"/>
          <w:szCs w:val="24"/>
          <w:lang w:val="en-GB"/>
        </w:rPr>
        <w:t>,</w:t>
      </w:r>
      <w:r w:rsidRPr="00E47CA1">
        <w:rPr>
          <w:rFonts w:ascii="Times New Roman" w:eastAsia="TimesNRMTPro" w:hAnsi="Times New Roman"/>
          <w:szCs w:val="24"/>
          <w:lang w:val="en-GB"/>
        </w:rPr>
        <w:t xml:space="preserve"> </w:t>
      </w:r>
      <w:r>
        <w:rPr>
          <w:rFonts w:ascii="Times New Roman" w:eastAsia="TimesNRMTPro" w:hAnsi="Times New Roman"/>
          <w:szCs w:val="24"/>
          <w:lang w:val="en-GB"/>
        </w:rPr>
        <w:t>CIMA Certificate in Islamic Finance,</w:t>
      </w:r>
      <w:r w:rsidRPr="00E47CA1">
        <w:rPr>
          <w:rFonts w:ascii="Times New Roman" w:eastAsia="TimesNRMTPro" w:hAnsi="Times New Roman"/>
          <w:szCs w:val="24"/>
          <w:lang w:val="en-GB"/>
        </w:rPr>
        <w:t xml:space="preserve"> </w:t>
      </w:r>
      <w:r>
        <w:rPr>
          <w:rFonts w:ascii="Times New Roman" w:eastAsia="TimesNRMTPro" w:hAnsi="Times New Roman"/>
          <w:szCs w:val="24"/>
          <w:lang w:val="en-GB"/>
        </w:rPr>
        <w:t xml:space="preserve">Chartered </w:t>
      </w:r>
      <w:r w:rsidRPr="00AC307B">
        <w:rPr>
          <w:rFonts w:ascii="Times New Roman" w:eastAsia="TimesNRMTPro" w:hAnsi="Times New Roman"/>
          <w:szCs w:val="24"/>
          <w:lang w:val="en-GB"/>
        </w:rPr>
        <w:t>Institute of Management Accountants</w:t>
      </w:r>
      <w:r w:rsidR="000934C1">
        <w:rPr>
          <w:rFonts w:ascii="Times New Roman" w:eastAsia="TimesNRMTPro" w:hAnsi="Times New Roman"/>
          <w:szCs w:val="24"/>
          <w:lang w:val="en-GB"/>
        </w:rPr>
        <w:t xml:space="preserve"> (CIMA)</w:t>
      </w:r>
      <w:r w:rsidRPr="00AC307B">
        <w:rPr>
          <w:rFonts w:ascii="Times New Roman" w:eastAsia="TimesNRMTPro" w:hAnsi="Times New Roman"/>
          <w:szCs w:val="24"/>
          <w:lang w:val="en-GB"/>
        </w:rPr>
        <w:t>, London.</w:t>
      </w:r>
    </w:p>
    <w:p w:rsidR="001F1549" w:rsidRDefault="001F1549" w:rsidP="001F1549">
      <w:pPr>
        <w:spacing w:line="288" w:lineRule="auto"/>
        <w:rPr>
          <w:rFonts w:ascii="Times New Roman" w:eastAsia="TimesNRMTPro" w:hAnsi="Times New Roman"/>
          <w:szCs w:val="24"/>
          <w:lang w:val="en-GB"/>
        </w:rPr>
      </w:pPr>
    </w:p>
    <w:p w:rsidR="001F1549" w:rsidRPr="00041CAC" w:rsidRDefault="001F1549" w:rsidP="001F1549">
      <w:pPr>
        <w:spacing w:line="288" w:lineRule="auto"/>
        <w:rPr>
          <w:rFonts w:ascii="Times New Roman" w:eastAsia="TimesNRMTPro" w:hAnsi="Times New Roman"/>
          <w:szCs w:val="24"/>
          <w:lang w:val="en-GB"/>
        </w:rPr>
      </w:pPr>
      <w:r>
        <w:rPr>
          <w:rFonts w:ascii="Times New Roman" w:eastAsia="TimesNRMTPro" w:hAnsi="Times New Roman"/>
          <w:szCs w:val="24"/>
          <w:lang w:val="en-GB"/>
        </w:rPr>
        <w:t xml:space="preserve">Bank Negara Malaysia (2013), </w:t>
      </w:r>
      <w:r w:rsidRPr="00041CAC">
        <w:rPr>
          <w:rFonts w:ascii="Times New Roman" w:eastAsia="TimesNRMTPro" w:hAnsi="Times New Roman"/>
          <w:i/>
          <w:szCs w:val="24"/>
          <w:lang w:val="en-GB"/>
        </w:rPr>
        <w:t>Islamic Financial Services Act</w:t>
      </w:r>
      <w:r w:rsidRPr="00041CAC">
        <w:rPr>
          <w:rFonts w:ascii="Times New Roman" w:eastAsia="TimesNRMTPro" w:hAnsi="Times New Roman"/>
          <w:szCs w:val="24"/>
          <w:lang w:val="en-GB"/>
        </w:rPr>
        <w:t xml:space="preserve"> </w:t>
      </w:r>
      <w:r w:rsidRPr="00041CAC">
        <w:rPr>
          <w:rFonts w:ascii="Times New Roman" w:eastAsia="TimesNRMTPro" w:hAnsi="Times New Roman"/>
          <w:i/>
          <w:szCs w:val="24"/>
          <w:lang w:val="en-GB"/>
        </w:rPr>
        <w:t>2013</w:t>
      </w:r>
      <w:r>
        <w:rPr>
          <w:rFonts w:ascii="Times New Roman" w:eastAsia="TimesNRMTPro" w:hAnsi="Times New Roman"/>
          <w:szCs w:val="24"/>
          <w:lang w:val="en-GB"/>
        </w:rPr>
        <w:t>, available at: http://</w:t>
      </w:r>
      <w:r w:rsidRPr="00041CAC">
        <w:rPr>
          <w:rFonts w:ascii="Times New Roman" w:hAnsi="Times New Roman"/>
          <w:noProof w:val="0"/>
          <w:lang w:val="en-GB"/>
        </w:rPr>
        <w:t>www.bnm.gov.my/documents/act/en_ifsa.pdf</w:t>
      </w:r>
      <w:r>
        <w:rPr>
          <w:rFonts w:ascii="Times New Roman" w:hAnsi="Times New Roman"/>
          <w:noProof w:val="0"/>
          <w:lang w:val="en-GB"/>
        </w:rPr>
        <w:t>.</w:t>
      </w:r>
    </w:p>
    <w:p w:rsidR="004831D7" w:rsidRDefault="004831D7" w:rsidP="00745E63">
      <w:pPr>
        <w:spacing w:line="288" w:lineRule="auto"/>
        <w:rPr>
          <w:rFonts w:ascii="Times New Roman" w:eastAsia="TimesNRMTPro" w:hAnsi="Times New Roman"/>
          <w:szCs w:val="24"/>
          <w:lang w:val="en-GB"/>
        </w:rPr>
      </w:pPr>
    </w:p>
    <w:p w:rsidR="00C56FF0" w:rsidRDefault="00C56FF0" w:rsidP="00745E63">
      <w:pPr>
        <w:spacing w:line="288" w:lineRule="auto"/>
        <w:rPr>
          <w:rFonts w:ascii="Times New Roman" w:eastAsia="TimesNRMTPro" w:hAnsi="Times New Roman"/>
          <w:szCs w:val="24"/>
          <w:lang w:val="en-GB"/>
        </w:rPr>
      </w:pPr>
      <w:r w:rsidRPr="00C56FF0">
        <w:rPr>
          <w:rFonts w:ascii="Times New Roman" w:hAnsi="Times New Roman"/>
          <w:noProof w:val="0"/>
          <w:lang w:val="en-GB"/>
        </w:rPr>
        <w:t xml:space="preserve">Beck, </w:t>
      </w:r>
      <w:r w:rsidR="006F2ADD">
        <w:rPr>
          <w:rFonts w:ascii="Times New Roman" w:hAnsi="Times New Roman"/>
          <w:noProof w:val="0"/>
          <w:lang w:val="en-GB"/>
        </w:rPr>
        <w:t>Th.</w:t>
      </w:r>
      <w:r>
        <w:rPr>
          <w:rFonts w:ascii="Times New Roman" w:hAnsi="Times New Roman"/>
          <w:noProof w:val="0"/>
          <w:lang w:val="en-GB"/>
        </w:rPr>
        <w:t>,</w:t>
      </w:r>
      <w:r w:rsidRPr="00C56FF0">
        <w:rPr>
          <w:rFonts w:ascii="Times New Roman" w:hAnsi="Times New Roman"/>
          <w:noProof w:val="0"/>
          <w:lang w:val="en-GB"/>
        </w:rPr>
        <w:t xml:space="preserve"> </w:t>
      </w:r>
      <w:r>
        <w:rPr>
          <w:rFonts w:ascii="Times New Roman" w:hAnsi="Times New Roman"/>
          <w:lang w:val="en-GB"/>
        </w:rPr>
        <w:t>Demirgüç-Kunt</w:t>
      </w:r>
      <w:r w:rsidR="006F2ADD">
        <w:rPr>
          <w:rFonts w:ascii="Times New Roman" w:hAnsi="Times New Roman"/>
          <w:lang w:val="en-GB"/>
        </w:rPr>
        <w:t>, A.</w:t>
      </w:r>
      <w:r>
        <w:rPr>
          <w:rFonts w:ascii="Times New Roman" w:hAnsi="Times New Roman"/>
          <w:lang w:val="en-GB"/>
        </w:rPr>
        <w:t xml:space="preserve"> and</w:t>
      </w:r>
      <w:r w:rsidRPr="00C56FF0">
        <w:rPr>
          <w:rFonts w:ascii="Times New Roman" w:hAnsi="Times New Roman"/>
          <w:lang w:val="en-GB"/>
        </w:rPr>
        <w:t xml:space="preserve"> Merrouche</w:t>
      </w:r>
      <w:r w:rsidRPr="00C56FF0">
        <w:rPr>
          <w:rFonts w:ascii="Times New Roman" w:hAnsi="Times New Roman"/>
          <w:noProof w:val="0"/>
          <w:lang w:val="en-GB"/>
        </w:rPr>
        <w:t>,</w:t>
      </w:r>
      <w:r w:rsidR="006F2ADD">
        <w:rPr>
          <w:rFonts w:ascii="Times New Roman" w:hAnsi="Times New Roman"/>
          <w:noProof w:val="0"/>
          <w:lang w:val="en-GB"/>
        </w:rPr>
        <w:t xml:space="preserve"> O. </w:t>
      </w:r>
      <w:r w:rsidRPr="00C56FF0">
        <w:rPr>
          <w:rFonts w:ascii="Times New Roman" w:hAnsi="Times New Roman"/>
          <w:noProof w:val="0"/>
          <w:lang w:val="en-GB"/>
        </w:rPr>
        <w:t xml:space="preserve"> </w:t>
      </w:r>
      <w:r w:rsidR="006F2ADD">
        <w:rPr>
          <w:rFonts w:ascii="Times New Roman" w:hAnsi="Times New Roman"/>
          <w:noProof w:val="0"/>
          <w:lang w:val="en-GB"/>
        </w:rPr>
        <w:t>(</w:t>
      </w:r>
      <w:r>
        <w:rPr>
          <w:rFonts w:ascii="Times New Roman" w:hAnsi="Times New Roman"/>
          <w:noProof w:val="0"/>
          <w:lang w:val="en-GB"/>
        </w:rPr>
        <w:t>2013</w:t>
      </w:r>
      <w:r w:rsidR="006F2ADD">
        <w:rPr>
          <w:rFonts w:ascii="Times New Roman" w:hAnsi="Times New Roman"/>
          <w:noProof w:val="0"/>
          <w:lang w:val="en-GB"/>
        </w:rPr>
        <w:t>)</w:t>
      </w:r>
      <w:r>
        <w:rPr>
          <w:rFonts w:ascii="Times New Roman" w:hAnsi="Times New Roman"/>
          <w:noProof w:val="0"/>
          <w:lang w:val="en-GB"/>
        </w:rPr>
        <w:t xml:space="preserve">, </w:t>
      </w:r>
      <w:r w:rsidR="006F2ADD">
        <w:rPr>
          <w:rFonts w:ascii="Times New Roman" w:hAnsi="Times New Roman"/>
          <w:noProof w:val="0"/>
          <w:lang w:val="en-GB"/>
        </w:rPr>
        <w:t>“</w:t>
      </w:r>
      <w:r w:rsidRPr="00C56FF0">
        <w:rPr>
          <w:rFonts w:ascii="Times New Roman" w:hAnsi="Times New Roman"/>
          <w:noProof w:val="0"/>
          <w:lang w:val="en-GB"/>
        </w:rPr>
        <w:t>Islamic vs. conventional banking: Business model, efficiency and stability</w:t>
      </w:r>
      <w:r w:rsidR="006F2ADD">
        <w:rPr>
          <w:rFonts w:ascii="Times New Roman" w:hAnsi="Times New Roman"/>
          <w:noProof w:val="0"/>
          <w:lang w:val="en-GB"/>
        </w:rPr>
        <w:t>”</w:t>
      </w:r>
      <w:r w:rsidRPr="00C56FF0">
        <w:rPr>
          <w:rFonts w:ascii="Times New Roman" w:hAnsi="Times New Roman"/>
          <w:noProof w:val="0"/>
          <w:lang w:val="en-GB"/>
        </w:rPr>
        <w:t xml:space="preserve">, </w:t>
      </w:r>
      <w:r w:rsidRPr="00C56FF0">
        <w:rPr>
          <w:rFonts w:ascii="Times New Roman" w:hAnsi="Times New Roman"/>
          <w:i/>
          <w:noProof w:val="0"/>
          <w:lang w:val="en-GB"/>
        </w:rPr>
        <w:t>Journal of Banking and Finance</w:t>
      </w:r>
      <w:r w:rsidR="006F2ADD">
        <w:rPr>
          <w:rFonts w:ascii="Times New Roman" w:hAnsi="Times New Roman"/>
          <w:noProof w:val="0"/>
          <w:lang w:val="en-GB"/>
        </w:rPr>
        <w:t>, Vol.</w:t>
      </w:r>
      <w:r>
        <w:rPr>
          <w:rFonts w:ascii="Times New Roman" w:hAnsi="Times New Roman"/>
          <w:noProof w:val="0"/>
          <w:lang w:val="en-GB"/>
        </w:rPr>
        <w:t xml:space="preserve"> 37</w:t>
      </w:r>
      <w:r w:rsidR="006F2ADD">
        <w:rPr>
          <w:rFonts w:ascii="Times New Roman" w:hAnsi="Times New Roman"/>
          <w:noProof w:val="0"/>
          <w:lang w:val="en-GB"/>
        </w:rPr>
        <w:t xml:space="preserve"> No. </w:t>
      </w:r>
      <w:r>
        <w:rPr>
          <w:rFonts w:ascii="Times New Roman" w:hAnsi="Times New Roman"/>
          <w:noProof w:val="0"/>
          <w:lang w:val="en-GB"/>
        </w:rPr>
        <w:t xml:space="preserve">2, </w:t>
      </w:r>
      <w:r w:rsidR="006F2ADD">
        <w:rPr>
          <w:rFonts w:ascii="Times New Roman" w:hAnsi="Times New Roman"/>
          <w:noProof w:val="0"/>
          <w:lang w:val="en-GB"/>
        </w:rPr>
        <w:t xml:space="preserve">pp. </w:t>
      </w:r>
      <w:r w:rsidRPr="00C56FF0">
        <w:rPr>
          <w:rFonts w:ascii="Times New Roman" w:hAnsi="Times New Roman"/>
          <w:noProof w:val="0"/>
          <w:lang w:val="en-GB"/>
        </w:rPr>
        <w:t>433-447</w:t>
      </w:r>
      <w:r>
        <w:rPr>
          <w:rFonts w:ascii="Times New Roman" w:hAnsi="Times New Roman"/>
          <w:noProof w:val="0"/>
          <w:lang w:val="en-GB"/>
        </w:rPr>
        <w:t>.</w:t>
      </w:r>
    </w:p>
    <w:p w:rsidR="00C56FF0" w:rsidRDefault="00C56FF0" w:rsidP="00745E63">
      <w:pPr>
        <w:spacing w:line="288" w:lineRule="auto"/>
        <w:rPr>
          <w:rFonts w:ascii="Times New Roman" w:eastAsia="TimesNRMTPro" w:hAnsi="Times New Roman"/>
          <w:szCs w:val="24"/>
          <w:lang w:val="en-GB"/>
        </w:rPr>
      </w:pPr>
    </w:p>
    <w:p w:rsidR="00EF189A" w:rsidRPr="000112DB" w:rsidRDefault="00EF189A" w:rsidP="00745E63">
      <w:pPr>
        <w:spacing w:line="288" w:lineRule="auto"/>
        <w:rPr>
          <w:rFonts w:ascii="Times New Roman" w:eastAsia="TimesNRMTPro" w:hAnsi="Times New Roman"/>
          <w:szCs w:val="24"/>
          <w:lang w:val="en-GB"/>
        </w:rPr>
      </w:pPr>
      <w:r w:rsidRPr="00EF189A">
        <w:rPr>
          <w:rFonts w:ascii="Times New Roman" w:eastAsia="TimesNRMTPro" w:hAnsi="Times New Roman"/>
          <w:szCs w:val="24"/>
          <w:lang w:val="en-GB"/>
        </w:rPr>
        <w:t>Chiu</w:t>
      </w:r>
      <w:r>
        <w:rPr>
          <w:rFonts w:ascii="Times New Roman" w:eastAsia="TimesNRMTPro" w:hAnsi="Times New Roman"/>
          <w:szCs w:val="24"/>
          <w:lang w:val="en-GB"/>
        </w:rPr>
        <w:t xml:space="preserve">, </w:t>
      </w:r>
      <w:r w:rsidRPr="00EF189A">
        <w:rPr>
          <w:rFonts w:ascii="Times New Roman" w:eastAsia="TimesNRMTPro" w:hAnsi="Times New Roman"/>
          <w:szCs w:val="24"/>
          <w:lang w:val="en-GB"/>
        </w:rPr>
        <w:t>S</w:t>
      </w:r>
      <w:r w:rsidR="006F2ADD">
        <w:rPr>
          <w:rFonts w:ascii="Times New Roman" w:eastAsia="TimesNRMTPro" w:hAnsi="Times New Roman"/>
          <w:szCs w:val="24"/>
          <w:lang w:val="en-GB"/>
        </w:rPr>
        <w:t>.</w:t>
      </w:r>
      <w:r w:rsidRPr="00EF189A">
        <w:rPr>
          <w:rFonts w:ascii="Times New Roman" w:eastAsia="TimesNRMTPro" w:hAnsi="Times New Roman"/>
          <w:szCs w:val="24"/>
          <w:lang w:val="en-GB"/>
        </w:rPr>
        <w:t xml:space="preserve"> and Newberger</w:t>
      </w:r>
      <w:r w:rsidR="006F2ADD">
        <w:rPr>
          <w:rFonts w:ascii="Times New Roman" w:eastAsia="TimesNRMTPro" w:hAnsi="Times New Roman"/>
          <w:szCs w:val="24"/>
          <w:lang w:val="en-GB"/>
        </w:rPr>
        <w:t>, R.</w:t>
      </w:r>
      <w:r w:rsidRPr="00EF189A">
        <w:rPr>
          <w:rFonts w:ascii="Times New Roman" w:eastAsia="TimesNRMTPro" w:hAnsi="Times New Roman"/>
          <w:szCs w:val="24"/>
          <w:lang w:val="en-GB"/>
        </w:rPr>
        <w:t xml:space="preserve"> </w:t>
      </w:r>
      <w:r w:rsidR="006F2ADD">
        <w:rPr>
          <w:rFonts w:ascii="Times New Roman" w:eastAsia="TimesNRMTPro" w:hAnsi="Times New Roman"/>
          <w:szCs w:val="24"/>
          <w:lang w:val="en-GB"/>
        </w:rPr>
        <w:t>(</w:t>
      </w:r>
      <w:r w:rsidRPr="00EF189A">
        <w:rPr>
          <w:rFonts w:ascii="Times New Roman" w:eastAsia="TimesNRMTPro" w:hAnsi="Times New Roman"/>
          <w:szCs w:val="24"/>
          <w:lang w:val="en-GB"/>
        </w:rPr>
        <w:t>2006</w:t>
      </w:r>
      <w:r w:rsidR="006F2ADD">
        <w:rPr>
          <w:rFonts w:ascii="Times New Roman" w:eastAsia="TimesNRMTPro" w:hAnsi="Times New Roman"/>
          <w:szCs w:val="24"/>
          <w:lang w:val="en-GB"/>
        </w:rPr>
        <w:t>)</w:t>
      </w:r>
      <w:r w:rsidRPr="00EF189A">
        <w:rPr>
          <w:rFonts w:ascii="Times New Roman" w:eastAsia="TimesNRMTPro" w:hAnsi="Times New Roman"/>
          <w:szCs w:val="24"/>
          <w:lang w:val="en-GB"/>
        </w:rPr>
        <w:t xml:space="preserve">, </w:t>
      </w:r>
      <w:r w:rsidR="006F2ADD">
        <w:rPr>
          <w:rFonts w:ascii="Times New Roman" w:eastAsia="TimesNRMTPro" w:hAnsi="Times New Roman"/>
          <w:szCs w:val="24"/>
          <w:lang w:val="en-GB"/>
        </w:rPr>
        <w:t>“</w:t>
      </w:r>
      <w:r w:rsidRPr="00EF189A">
        <w:rPr>
          <w:rFonts w:ascii="Times New Roman" w:eastAsia="TimesNRMTPro" w:hAnsi="Times New Roman"/>
          <w:szCs w:val="24"/>
          <w:lang w:val="en-GB"/>
        </w:rPr>
        <w:t xml:space="preserve">Islamic Finance: Meeting Financial Needs with Faith </w:t>
      </w:r>
      <w:r w:rsidR="006F2ADD">
        <w:rPr>
          <w:rFonts w:ascii="Times New Roman" w:eastAsia="TimesNRMTPro" w:hAnsi="Times New Roman"/>
          <w:szCs w:val="24"/>
          <w:lang w:val="en-GB"/>
        </w:rPr>
        <w:t>Based Products”</w:t>
      </w:r>
      <w:r w:rsidRPr="000112DB">
        <w:rPr>
          <w:rFonts w:ascii="Times New Roman" w:eastAsia="TimesNRMTPro" w:hAnsi="Times New Roman"/>
          <w:szCs w:val="24"/>
          <w:lang w:val="en-GB"/>
        </w:rPr>
        <w:t xml:space="preserve">, </w:t>
      </w:r>
      <w:r w:rsidRPr="000112DB">
        <w:rPr>
          <w:rFonts w:ascii="Times New Roman" w:eastAsia="TimesNRMTPro" w:hAnsi="Times New Roman"/>
          <w:i/>
          <w:szCs w:val="24"/>
          <w:lang w:val="en-GB"/>
        </w:rPr>
        <w:t>Profitwise News and Views</w:t>
      </w:r>
      <w:r w:rsidRPr="000112DB">
        <w:rPr>
          <w:rFonts w:ascii="Times New Roman" w:eastAsia="TimesNRMTPro" w:hAnsi="Times New Roman"/>
          <w:szCs w:val="24"/>
          <w:lang w:val="en-GB"/>
        </w:rPr>
        <w:t xml:space="preserve">, Federal Reserve Bank of Chicago, February, </w:t>
      </w:r>
      <w:r w:rsidR="006F2ADD">
        <w:rPr>
          <w:rFonts w:ascii="Times New Roman" w:eastAsia="TimesNRMTPro" w:hAnsi="Times New Roman"/>
          <w:szCs w:val="24"/>
          <w:lang w:val="en-GB"/>
        </w:rPr>
        <w:t>available at: http:://</w:t>
      </w:r>
      <w:hyperlink r:id="rId9" w:history="1">
        <w:r w:rsidR="000112DB" w:rsidRPr="000112DB">
          <w:rPr>
            <w:rStyle w:val="Hyperlink"/>
            <w:rFonts w:ascii="Times New Roman" w:eastAsia="TimesNRMTPro" w:hAnsi="Times New Roman"/>
            <w:color w:val="auto"/>
            <w:szCs w:val="24"/>
            <w:u w:val="none"/>
            <w:lang w:val="en-GB"/>
          </w:rPr>
          <w:t>www.chicagofed.org/community_development/files/02_2006_islamic_finance.pdf</w:t>
        </w:r>
      </w:hyperlink>
      <w:r w:rsidR="006F2ADD">
        <w:rPr>
          <w:rStyle w:val="Hyperlink"/>
          <w:rFonts w:ascii="Times New Roman" w:eastAsia="TimesNRMTPro" w:hAnsi="Times New Roman"/>
          <w:color w:val="auto"/>
          <w:szCs w:val="24"/>
          <w:u w:val="none"/>
          <w:lang w:val="en-GB"/>
        </w:rPr>
        <w:t>.</w:t>
      </w:r>
    </w:p>
    <w:p w:rsidR="000112DB" w:rsidRDefault="000112DB" w:rsidP="00745E63">
      <w:pPr>
        <w:spacing w:line="288" w:lineRule="auto"/>
        <w:rPr>
          <w:rFonts w:ascii="Times New Roman" w:eastAsia="TimesNRMTPro" w:hAnsi="Times New Roman"/>
          <w:szCs w:val="24"/>
          <w:lang w:val="en-GB"/>
        </w:rPr>
      </w:pPr>
    </w:p>
    <w:p w:rsidR="001B345A" w:rsidRPr="00B239F0" w:rsidRDefault="001B345A" w:rsidP="00B239F0">
      <w:pPr>
        <w:spacing w:line="288" w:lineRule="auto"/>
        <w:rPr>
          <w:rFonts w:ascii="Times New Roman" w:eastAsia="TimesNRMTPro" w:hAnsi="Times New Roman"/>
          <w:szCs w:val="24"/>
          <w:lang w:val="en-GB"/>
        </w:rPr>
      </w:pPr>
      <w:r>
        <w:rPr>
          <w:rFonts w:ascii="Times New Roman" w:eastAsia="TimesNRMTPro" w:hAnsi="Times New Roman"/>
          <w:szCs w:val="24"/>
          <w:lang w:val="en-GB"/>
        </w:rPr>
        <w:t>EU (</w:t>
      </w:r>
      <w:r w:rsidR="00B239F0">
        <w:rPr>
          <w:rFonts w:ascii="Times New Roman" w:eastAsia="TimesNRMTPro" w:hAnsi="Times New Roman"/>
          <w:szCs w:val="24"/>
          <w:lang w:val="en-GB"/>
        </w:rPr>
        <w:t>2008</w:t>
      </w:r>
      <w:r>
        <w:rPr>
          <w:rFonts w:ascii="Times New Roman" w:eastAsia="TimesNRMTPro" w:hAnsi="Times New Roman"/>
          <w:szCs w:val="24"/>
          <w:lang w:val="en-GB"/>
        </w:rPr>
        <w:t xml:space="preserve">), </w:t>
      </w:r>
      <w:r w:rsidR="00B239F0">
        <w:rPr>
          <w:rFonts w:ascii="Times New Roman" w:eastAsia="TimesNRMTPro" w:hAnsi="Times New Roman"/>
          <w:szCs w:val="24"/>
          <w:lang w:val="en-GB"/>
        </w:rPr>
        <w:t>“</w:t>
      </w:r>
      <w:r w:rsidR="00B239F0">
        <w:rPr>
          <w:rFonts w:ascii="Times New Roman" w:eastAsia="TimesNRMTPro" w:hAnsi="Times New Roman"/>
          <w:bCs/>
          <w:szCs w:val="24"/>
          <w:lang w:val="en-GB"/>
        </w:rPr>
        <w:t>Directive 2008/48/Ec o</w:t>
      </w:r>
      <w:r w:rsidR="00B239F0" w:rsidRPr="00B239F0">
        <w:rPr>
          <w:rFonts w:ascii="Times New Roman" w:eastAsia="TimesNRMTPro" w:hAnsi="Times New Roman"/>
          <w:bCs/>
          <w:szCs w:val="24"/>
          <w:lang w:val="en-GB"/>
        </w:rPr>
        <w:t xml:space="preserve">f </w:t>
      </w:r>
      <w:r w:rsidR="00B239F0">
        <w:rPr>
          <w:rFonts w:ascii="Times New Roman" w:eastAsia="TimesNRMTPro" w:hAnsi="Times New Roman"/>
          <w:bCs/>
          <w:szCs w:val="24"/>
          <w:lang w:val="en-GB"/>
        </w:rPr>
        <w:t>t</w:t>
      </w:r>
      <w:r w:rsidR="00B239F0" w:rsidRPr="00B239F0">
        <w:rPr>
          <w:rFonts w:ascii="Times New Roman" w:eastAsia="TimesNRMTPro" w:hAnsi="Times New Roman"/>
          <w:bCs/>
          <w:szCs w:val="24"/>
          <w:lang w:val="en-GB"/>
        </w:rPr>
        <w:t xml:space="preserve">he European Parliament </w:t>
      </w:r>
      <w:r w:rsidR="00B239F0">
        <w:rPr>
          <w:rFonts w:ascii="Times New Roman" w:eastAsia="TimesNRMTPro" w:hAnsi="Times New Roman"/>
          <w:bCs/>
          <w:szCs w:val="24"/>
          <w:lang w:val="en-GB"/>
        </w:rPr>
        <w:t>a</w:t>
      </w:r>
      <w:r w:rsidR="00B239F0" w:rsidRPr="00B239F0">
        <w:rPr>
          <w:rFonts w:ascii="Times New Roman" w:eastAsia="TimesNRMTPro" w:hAnsi="Times New Roman"/>
          <w:bCs/>
          <w:szCs w:val="24"/>
          <w:lang w:val="en-GB"/>
        </w:rPr>
        <w:t xml:space="preserve">nd </w:t>
      </w:r>
      <w:r w:rsidR="00B239F0">
        <w:rPr>
          <w:rFonts w:ascii="Times New Roman" w:eastAsia="TimesNRMTPro" w:hAnsi="Times New Roman"/>
          <w:bCs/>
          <w:szCs w:val="24"/>
          <w:lang w:val="en-GB"/>
        </w:rPr>
        <w:t>o</w:t>
      </w:r>
      <w:r w:rsidR="00B239F0" w:rsidRPr="00B239F0">
        <w:rPr>
          <w:rFonts w:ascii="Times New Roman" w:eastAsia="TimesNRMTPro" w:hAnsi="Times New Roman"/>
          <w:bCs/>
          <w:szCs w:val="24"/>
          <w:lang w:val="en-GB"/>
        </w:rPr>
        <w:t xml:space="preserve">f </w:t>
      </w:r>
      <w:r w:rsidR="00B239F0">
        <w:rPr>
          <w:rFonts w:ascii="Times New Roman" w:eastAsia="TimesNRMTPro" w:hAnsi="Times New Roman"/>
          <w:bCs/>
          <w:szCs w:val="24"/>
          <w:lang w:val="en-GB"/>
        </w:rPr>
        <w:t>t</w:t>
      </w:r>
      <w:r w:rsidR="00B239F0" w:rsidRPr="00B239F0">
        <w:rPr>
          <w:rFonts w:ascii="Times New Roman" w:eastAsia="TimesNRMTPro" w:hAnsi="Times New Roman"/>
          <w:bCs/>
          <w:szCs w:val="24"/>
          <w:lang w:val="en-GB"/>
        </w:rPr>
        <w:t>he Council</w:t>
      </w:r>
      <w:r w:rsidR="00B239F0">
        <w:rPr>
          <w:rFonts w:ascii="Times New Roman" w:eastAsia="TimesNRMTPro" w:hAnsi="Times New Roman"/>
          <w:bCs/>
          <w:szCs w:val="24"/>
          <w:lang w:val="en-GB"/>
        </w:rPr>
        <w:t xml:space="preserve"> </w:t>
      </w:r>
      <w:r w:rsidR="00B239F0" w:rsidRPr="00B239F0">
        <w:rPr>
          <w:rFonts w:ascii="Times New Roman" w:eastAsia="TimesNRMTPro" w:hAnsi="Times New Roman"/>
          <w:bCs/>
          <w:szCs w:val="24"/>
          <w:lang w:val="en-GB"/>
        </w:rPr>
        <w:t>of 23 April 2008</w:t>
      </w:r>
      <w:r w:rsidR="00B239F0">
        <w:rPr>
          <w:rFonts w:ascii="Times New Roman" w:eastAsia="TimesNRMTPro" w:hAnsi="Times New Roman"/>
          <w:bCs/>
          <w:szCs w:val="24"/>
          <w:lang w:val="en-GB"/>
        </w:rPr>
        <w:t xml:space="preserve"> </w:t>
      </w:r>
      <w:r w:rsidR="00B239F0" w:rsidRPr="00B239F0">
        <w:rPr>
          <w:rFonts w:ascii="Times New Roman" w:eastAsia="TimesNRMTPro" w:hAnsi="Times New Roman"/>
          <w:bCs/>
          <w:szCs w:val="24"/>
          <w:lang w:val="en-GB"/>
        </w:rPr>
        <w:t>on credit agreements for consumers and repealing Council Directive 87/102/EEC</w:t>
      </w:r>
      <w:r w:rsidR="00B239F0">
        <w:rPr>
          <w:rFonts w:ascii="Times New Roman" w:eastAsia="TimesNRMTPro" w:hAnsi="Times New Roman"/>
          <w:bCs/>
          <w:szCs w:val="24"/>
          <w:lang w:val="en-GB"/>
        </w:rPr>
        <w:t xml:space="preserve">”, </w:t>
      </w:r>
      <w:r w:rsidR="00B239F0" w:rsidRPr="00B239F0">
        <w:rPr>
          <w:rFonts w:ascii="Times New Roman" w:eastAsia="TimesNRMTPro" w:hAnsi="Times New Roman"/>
          <w:bCs/>
          <w:i/>
          <w:szCs w:val="24"/>
          <w:lang w:val="en-GB"/>
        </w:rPr>
        <w:t>Official Journal of the European Union</w:t>
      </w:r>
      <w:r w:rsidR="00B239F0">
        <w:rPr>
          <w:rFonts w:ascii="Times New Roman" w:eastAsia="TimesNRMTPro" w:hAnsi="Times New Roman"/>
          <w:bCs/>
          <w:szCs w:val="24"/>
          <w:lang w:val="en-GB"/>
        </w:rPr>
        <w:t>, 22 May.</w:t>
      </w:r>
    </w:p>
    <w:p w:rsidR="001F1549" w:rsidRDefault="001F1549" w:rsidP="001F1549">
      <w:pPr>
        <w:spacing w:line="288" w:lineRule="auto"/>
        <w:rPr>
          <w:rFonts w:ascii="Times New Roman" w:eastAsia="Calibri" w:hAnsi="Times New Roman"/>
          <w:bCs/>
          <w:i/>
          <w:noProof w:val="0"/>
          <w:szCs w:val="24"/>
          <w:lang w:val="en-GB" w:eastAsia="en-US"/>
        </w:rPr>
      </w:pPr>
    </w:p>
    <w:p w:rsidR="001F1549" w:rsidRDefault="001F1549" w:rsidP="001F1549">
      <w:pPr>
        <w:spacing w:line="288" w:lineRule="auto"/>
        <w:rPr>
          <w:rFonts w:ascii="Times New Roman" w:eastAsia="TimesNRMTPro" w:hAnsi="Times New Roman"/>
          <w:szCs w:val="24"/>
          <w:lang w:val="en-GB"/>
        </w:rPr>
      </w:pPr>
      <w:r>
        <w:rPr>
          <w:rFonts w:ascii="Times New Roman" w:eastAsia="Calibri" w:hAnsi="Times New Roman"/>
          <w:bCs/>
          <w:noProof w:val="0"/>
          <w:szCs w:val="24"/>
          <w:lang w:val="en-GB" w:eastAsia="en-US"/>
        </w:rPr>
        <w:t>FSB (2014), “</w:t>
      </w:r>
      <w:r w:rsidRPr="00DE1F09">
        <w:rPr>
          <w:rFonts w:ascii="Times New Roman" w:eastAsia="Calibri" w:hAnsi="Times New Roman"/>
          <w:bCs/>
          <w:noProof w:val="0"/>
          <w:szCs w:val="24"/>
          <w:lang w:val="en-GB" w:eastAsia="en-US"/>
        </w:rPr>
        <w:t>Key Attributes of Effective Resolution Regimes for Financial Institutions</w:t>
      </w:r>
      <w:r>
        <w:rPr>
          <w:rFonts w:ascii="Times New Roman" w:eastAsia="Calibri" w:hAnsi="Times New Roman"/>
          <w:bCs/>
          <w:noProof w:val="0"/>
          <w:szCs w:val="24"/>
          <w:lang w:val="en-GB" w:eastAsia="en-US"/>
        </w:rPr>
        <w:t>”</w:t>
      </w:r>
      <w:r w:rsidRPr="00EB007F">
        <w:rPr>
          <w:rFonts w:ascii="Times New Roman" w:eastAsia="Calibri" w:hAnsi="Times New Roman"/>
          <w:bCs/>
          <w:noProof w:val="0"/>
          <w:szCs w:val="24"/>
          <w:lang w:val="en-GB" w:eastAsia="en-US"/>
        </w:rPr>
        <w:t xml:space="preserve">, </w:t>
      </w:r>
      <w:r>
        <w:rPr>
          <w:rFonts w:ascii="Times New Roman" w:eastAsia="Calibri" w:hAnsi="Times New Roman"/>
          <w:bCs/>
          <w:noProof w:val="0"/>
          <w:szCs w:val="24"/>
          <w:lang w:val="en-GB" w:eastAsia="en-US"/>
        </w:rPr>
        <w:t xml:space="preserve">revised edition, </w:t>
      </w:r>
      <w:r w:rsidRPr="00EB007F">
        <w:rPr>
          <w:rFonts w:ascii="Times New Roman" w:eastAsia="Calibri" w:hAnsi="Times New Roman"/>
          <w:bCs/>
          <w:noProof w:val="0"/>
          <w:szCs w:val="24"/>
          <w:lang w:val="en-GB" w:eastAsia="en-US"/>
        </w:rPr>
        <w:t>Financial Stability Board</w:t>
      </w:r>
      <w:r>
        <w:rPr>
          <w:rFonts w:ascii="Times New Roman" w:eastAsia="Calibri" w:hAnsi="Times New Roman"/>
          <w:bCs/>
          <w:noProof w:val="0"/>
          <w:szCs w:val="24"/>
          <w:lang w:val="en-GB" w:eastAsia="en-US"/>
        </w:rPr>
        <w:t xml:space="preserve"> (FSB),</w:t>
      </w:r>
      <w:r w:rsidRPr="00EB007F">
        <w:rPr>
          <w:rFonts w:ascii="Times New Roman" w:eastAsia="Calibri" w:hAnsi="Times New Roman"/>
          <w:bCs/>
          <w:noProof w:val="0"/>
          <w:szCs w:val="24"/>
          <w:lang w:val="en-GB" w:eastAsia="en-US"/>
        </w:rPr>
        <w:t xml:space="preserve"> </w:t>
      </w:r>
      <w:r>
        <w:rPr>
          <w:rFonts w:ascii="Times New Roman" w:eastAsia="Calibri" w:hAnsi="Times New Roman"/>
          <w:bCs/>
          <w:noProof w:val="0"/>
          <w:szCs w:val="24"/>
          <w:lang w:val="en-GB" w:eastAsia="en-US"/>
        </w:rPr>
        <w:t>available at http://</w:t>
      </w:r>
      <w:r w:rsidRPr="00EB007F">
        <w:rPr>
          <w:rFonts w:ascii="Times New Roman" w:eastAsia="Calibri" w:hAnsi="Times New Roman"/>
          <w:bCs/>
          <w:noProof w:val="0"/>
          <w:szCs w:val="24"/>
          <w:lang w:val="en-GB" w:eastAsia="en-US"/>
        </w:rPr>
        <w:t>www.fsb.org</w:t>
      </w:r>
      <w:r>
        <w:rPr>
          <w:rFonts w:ascii="Times New Roman" w:eastAsia="Calibri" w:hAnsi="Times New Roman"/>
          <w:bCs/>
          <w:noProof w:val="0"/>
          <w:szCs w:val="24"/>
          <w:lang w:val="en-GB" w:eastAsia="en-US"/>
        </w:rPr>
        <w:t>.</w:t>
      </w:r>
    </w:p>
    <w:p w:rsidR="001B345A" w:rsidRPr="000112DB" w:rsidRDefault="001B345A" w:rsidP="00745E63">
      <w:pPr>
        <w:spacing w:line="288" w:lineRule="auto"/>
        <w:rPr>
          <w:rFonts w:ascii="Times New Roman" w:eastAsia="TimesNRMTPro" w:hAnsi="Times New Roman"/>
          <w:szCs w:val="24"/>
          <w:lang w:val="en-GB"/>
        </w:rPr>
      </w:pPr>
    </w:p>
    <w:p w:rsidR="009300CD" w:rsidRDefault="009300CD" w:rsidP="009300CD">
      <w:pPr>
        <w:spacing w:line="288" w:lineRule="auto"/>
        <w:rPr>
          <w:rFonts w:ascii="Times New Roman" w:hAnsi="Times New Roman"/>
          <w:spacing w:val="-2"/>
          <w:szCs w:val="24"/>
          <w:lang w:val="en-GB"/>
        </w:rPr>
      </w:pPr>
      <w:r>
        <w:rPr>
          <w:rFonts w:ascii="Times New Roman" w:hAnsi="Times New Roman"/>
          <w:spacing w:val="-2"/>
          <w:szCs w:val="24"/>
          <w:lang w:val="en-GB"/>
        </w:rPr>
        <w:t>Gimigliano, G. (2016), “</w:t>
      </w:r>
      <w:r w:rsidRPr="009300CD">
        <w:rPr>
          <w:rFonts w:ascii="Times New Roman" w:hAnsi="Times New Roman"/>
          <w:spacing w:val="-2"/>
          <w:szCs w:val="24"/>
          <w:lang w:val="en-GB"/>
        </w:rPr>
        <w:t>Investigating Islamic banking in Italy</w:t>
      </w:r>
      <w:r>
        <w:rPr>
          <w:rFonts w:ascii="Times New Roman" w:hAnsi="Times New Roman"/>
          <w:spacing w:val="-2"/>
          <w:szCs w:val="24"/>
          <w:lang w:val="en-GB"/>
        </w:rPr>
        <w:t>”</w:t>
      </w:r>
      <w:r w:rsidRPr="009300CD">
        <w:rPr>
          <w:rFonts w:ascii="Times New Roman" w:hAnsi="Times New Roman"/>
          <w:i/>
          <w:spacing w:val="-2"/>
          <w:szCs w:val="24"/>
          <w:lang w:val="en-GB"/>
        </w:rPr>
        <w:t>, International Journal of Islamic</w:t>
      </w:r>
      <w:r>
        <w:rPr>
          <w:rFonts w:ascii="Times New Roman" w:hAnsi="Times New Roman"/>
          <w:i/>
          <w:spacing w:val="-2"/>
          <w:szCs w:val="24"/>
          <w:lang w:val="en-GB"/>
        </w:rPr>
        <w:t xml:space="preserve"> </w:t>
      </w:r>
      <w:r w:rsidRPr="009300CD">
        <w:rPr>
          <w:rFonts w:ascii="Times New Roman" w:hAnsi="Times New Roman"/>
          <w:i/>
          <w:spacing w:val="-2"/>
          <w:szCs w:val="24"/>
          <w:lang w:val="en-GB"/>
        </w:rPr>
        <w:t>and Middle Eastern Finance and Management</w:t>
      </w:r>
      <w:r w:rsidRPr="009300CD">
        <w:rPr>
          <w:rFonts w:ascii="Times New Roman" w:hAnsi="Times New Roman"/>
          <w:spacing w:val="-2"/>
          <w:szCs w:val="24"/>
          <w:lang w:val="en-GB"/>
        </w:rPr>
        <w:t>, Vol. 9 Iss 3</w:t>
      </w:r>
      <w:r>
        <w:rPr>
          <w:rFonts w:ascii="Times New Roman" w:hAnsi="Times New Roman"/>
          <w:spacing w:val="-2"/>
          <w:szCs w:val="24"/>
          <w:lang w:val="en-GB"/>
        </w:rPr>
        <w:t>,</w:t>
      </w:r>
      <w:r w:rsidRPr="009300CD">
        <w:rPr>
          <w:rFonts w:ascii="Times New Roman" w:hAnsi="Times New Roman"/>
          <w:spacing w:val="-2"/>
          <w:szCs w:val="24"/>
          <w:lang w:val="en-GB"/>
        </w:rPr>
        <w:t xml:space="preserve"> pp. 364 </w:t>
      </w:r>
      <w:r>
        <w:rPr>
          <w:rFonts w:ascii="Times New Roman" w:hAnsi="Times New Roman"/>
          <w:spacing w:val="-2"/>
          <w:szCs w:val="24"/>
          <w:lang w:val="en-GB"/>
        </w:rPr>
        <w:t>–</w:t>
      </w:r>
      <w:r w:rsidRPr="009300CD">
        <w:rPr>
          <w:rFonts w:ascii="Times New Roman" w:hAnsi="Times New Roman"/>
          <w:spacing w:val="-2"/>
          <w:szCs w:val="24"/>
          <w:lang w:val="en-GB"/>
        </w:rPr>
        <w:t xml:space="preserve"> 387</w:t>
      </w:r>
      <w:r>
        <w:rPr>
          <w:rFonts w:ascii="Times New Roman" w:hAnsi="Times New Roman"/>
          <w:spacing w:val="-2"/>
          <w:szCs w:val="24"/>
          <w:lang w:val="en-GB"/>
        </w:rPr>
        <w:t>.</w:t>
      </w:r>
    </w:p>
    <w:p w:rsidR="009300CD" w:rsidRDefault="009300CD" w:rsidP="00745E63">
      <w:pPr>
        <w:spacing w:line="288" w:lineRule="auto"/>
        <w:rPr>
          <w:rFonts w:ascii="Times New Roman" w:hAnsi="Times New Roman"/>
          <w:spacing w:val="-2"/>
          <w:szCs w:val="24"/>
          <w:lang w:val="en-GB"/>
        </w:rPr>
      </w:pPr>
    </w:p>
    <w:p w:rsidR="000112DB" w:rsidRPr="000112DB" w:rsidRDefault="000112DB" w:rsidP="00745E63">
      <w:pPr>
        <w:spacing w:line="288" w:lineRule="auto"/>
        <w:rPr>
          <w:rFonts w:ascii="Times New Roman" w:eastAsia="TimesNRMTPro" w:hAnsi="Times New Roman"/>
          <w:szCs w:val="24"/>
          <w:lang w:val="en-GB"/>
        </w:rPr>
      </w:pPr>
      <w:r w:rsidRPr="000112DB">
        <w:rPr>
          <w:rFonts w:ascii="Times New Roman" w:hAnsi="Times New Roman"/>
          <w:spacing w:val="-2"/>
          <w:szCs w:val="24"/>
          <w:lang w:val="en-GB"/>
        </w:rPr>
        <w:t>Ginena, K</w:t>
      </w:r>
      <w:r>
        <w:rPr>
          <w:rFonts w:ascii="Times New Roman" w:hAnsi="Times New Roman"/>
          <w:spacing w:val="-2"/>
          <w:szCs w:val="24"/>
          <w:lang w:val="en-GB"/>
        </w:rPr>
        <w:t>.</w:t>
      </w:r>
      <w:r w:rsidRPr="000112DB">
        <w:rPr>
          <w:rFonts w:ascii="Times New Roman" w:hAnsi="Times New Roman"/>
          <w:spacing w:val="-2"/>
          <w:szCs w:val="24"/>
          <w:lang w:val="en-GB"/>
        </w:rPr>
        <w:t xml:space="preserve"> </w:t>
      </w:r>
      <w:r w:rsidR="006F2ADD">
        <w:rPr>
          <w:rFonts w:ascii="Times New Roman" w:hAnsi="Times New Roman"/>
          <w:spacing w:val="-2"/>
          <w:szCs w:val="24"/>
          <w:lang w:val="en-GB"/>
        </w:rPr>
        <w:t>(</w:t>
      </w:r>
      <w:r w:rsidRPr="000112DB">
        <w:rPr>
          <w:rFonts w:ascii="Times New Roman" w:hAnsi="Times New Roman"/>
          <w:spacing w:val="-2"/>
          <w:szCs w:val="24"/>
          <w:lang w:val="en-GB"/>
        </w:rPr>
        <w:t>2014</w:t>
      </w:r>
      <w:r w:rsidR="006F2ADD">
        <w:rPr>
          <w:rFonts w:ascii="Times New Roman" w:hAnsi="Times New Roman"/>
          <w:spacing w:val="-2"/>
          <w:szCs w:val="24"/>
          <w:lang w:val="en-GB"/>
        </w:rPr>
        <w:t>)</w:t>
      </w:r>
      <w:r w:rsidRPr="000112DB">
        <w:rPr>
          <w:rFonts w:ascii="Times New Roman" w:hAnsi="Times New Roman"/>
          <w:spacing w:val="-2"/>
          <w:szCs w:val="24"/>
          <w:lang w:val="en-GB"/>
        </w:rPr>
        <w:t xml:space="preserve">, </w:t>
      </w:r>
      <w:r w:rsidR="006F2ADD">
        <w:rPr>
          <w:rFonts w:ascii="Times New Roman" w:hAnsi="Times New Roman"/>
          <w:spacing w:val="-2"/>
          <w:szCs w:val="24"/>
          <w:lang w:val="en-GB"/>
        </w:rPr>
        <w:t>“</w:t>
      </w:r>
      <w:r w:rsidRPr="000112DB">
        <w:rPr>
          <w:rFonts w:ascii="Times New Roman" w:hAnsi="Times New Roman"/>
          <w:spacing w:val="-2"/>
          <w:szCs w:val="24"/>
          <w:lang w:val="en-GB"/>
        </w:rPr>
        <w:t>Shari‘ah risk and corporate governance of Islamic banks</w:t>
      </w:r>
      <w:r w:rsidR="006F2ADD">
        <w:rPr>
          <w:rFonts w:ascii="Times New Roman" w:hAnsi="Times New Roman"/>
          <w:spacing w:val="-2"/>
          <w:szCs w:val="24"/>
          <w:lang w:val="en-GB"/>
        </w:rPr>
        <w:t>”</w:t>
      </w:r>
      <w:r w:rsidRPr="000112DB">
        <w:rPr>
          <w:rFonts w:ascii="Times New Roman" w:hAnsi="Times New Roman"/>
          <w:spacing w:val="-2"/>
          <w:szCs w:val="24"/>
          <w:lang w:val="en-GB"/>
        </w:rPr>
        <w:t xml:space="preserve">, </w:t>
      </w:r>
      <w:r w:rsidRPr="000112DB">
        <w:rPr>
          <w:rFonts w:ascii="Times New Roman" w:hAnsi="Times New Roman"/>
          <w:i/>
          <w:spacing w:val="-2"/>
          <w:szCs w:val="24"/>
          <w:lang w:val="en-GB"/>
        </w:rPr>
        <w:t>Corporate Governance</w:t>
      </w:r>
      <w:r w:rsidR="006B3610">
        <w:rPr>
          <w:rFonts w:ascii="Times New Roman" w:hAnsi="Times New Roman"/>
          <w:spacing w:val="-2"/>
          <w:szCs w:val="24"/>
          <w:lang w:val="en-GB"/>
        </w:rPr>
        <w:t>, V</w:t>
      </w:r>
      <w:r w:rsidR="006F2ADD">
        <w:rPr>
          <w:rFonts w:ascii="Times New Roman" w:hAnsi="Times New Roman"/>
          <w:spacing w:val="-2"/>
          <w:szCs w:val="24"/>
          <w:lang w:val="en-GB"/>
        </w:rPr>
        <w:t>ol.</w:t>
      </w:r>
      <w:r w:rsidRPr="000112DB">
        <w:rPr>
          <w:rFonts w:ascii="Times New Roman" w:hAnsi="Times New Roman"/>
          <w:spacing w:val="-2"/>
          <w:szCs w:val="24"/>
          <w:lang w:val="en-GB"/>
        </w:rPr>
        <w:t xml:space="preserve"> 14</w:t>
      </w:r>
      <w:r w:rsidR="006B3610">
        <w:rPr>
          <w:rFonts w:ascii="Times New Roman" w:hAnsi="Times New Roman"/>
          <w:spacing w:val="-2"/>
          <w:szCs w:val="24"/>
          <w:lang w:val="en-GB"/>
        </w:rPr>
        <w:t xml:space="preserve"> No. </w:t>
      </w:r>
      <w:r w:rsidRPr="000112DB">
        <w:rPr>
          <w:rFonts w:ascii="Times New Roman" w:hAnsi="Times New Roman"/>
          <w:spacing w:val="-2"/>
          <w:szCs w:val="24"/>
          <w:lang w:val="en-GB"/>
        </w:rPr>
        <w:t>1,</w:t>
      </w:r>
      <w:r>
        <w:rPr>
          <w:rFonts w:ascii="Times New Roman" w:hAnsi="Times New Roman"/>
          <w:spacing w:val="-2"/>
          <w:szCs w:val="24"/>
          <w:lang w:val="en-GB"/>
        </w:rPr>
        <w:t xml:space="preserve"> </w:t>
      </w:r>
      <w:r w:rsidR="006B3610">
        <w:rPr>
          <w:rFonts w:ascii="Times New Roman" w:hAnsi="Times New Roman"/>
          <w:spacing w:val="-2"/>
          <w:szCs w:val="24"/>
          <w:lang w:val="en-GB"/>
        </w:rPr>
        <w:t xml:space="preserve">pp. </w:t>
      </w:r>
      <w:r w:rsidRPr="000112DB">
        <w:rPr>
          <w:rFonts w:ascii="Times New Roman" w:hAnsi="Times New Roman"/>
          <w:spacing w:val="-2"/>
          <w:szCs w:val="24"/>
          <w:lang w:val="en-GB"/>
        </w:rPr>
        <w:t>86 – 103.</w:t>
      </w:r>
    </w:p>
    <w:p w:rsidR="005E426D" w:rsidRDefault="005E426D" w:rsidP="005E426D">
      <w:pPr>
        <w:spacing w:line="288" w:lineRule="auto"/>
        <w:rPr>
          <w:rFonts w:ascii="Times New Roman" w:eastAsia="TimesNRMTPro" w:hAnsi="Times New Roman"/>
          <w:bCs/>
          <w:szCs w:val="24"/>
          <w:lang w:val="en-GB"/>
        </w:rPr>
      </w:pPr>
    </w:p>
    <w:p w:rsidR="005E426D" w:rsidRDefault="005E426D" w:rsidP="005E426D">
      <w:pPr>
        <w:spacing w:line="288" w:lineRule="auto"/>
        <w:rPr>
          <w:rFonts w:ascii="Times New Roman" w:eastAsia="TimesNRMTPro" w:hAnsi="Times New Roman"/>
          <w:bCs/>
          <w:szCs w:val="24"/>
          <w:lang w:val="en-GB"/>
        </w:rPr>
      </w:pPr>
      <w:r w:rsidRPr="00A30F9D">
        <w:rPr>
          <w:rFonts w:ascii="Times New Roman" w:eastAsia="TimesNRMTPro" w:hAnsi="Times New Roman"/>
          <w:bCs/>
          <w:szCs w:val="24"/>
          <w:lang w:val="en-GB"/>
        </w:rPr>
        <w:t>Gupta, N</w:t>
      </w:r>
      <w:r w:rsidR="00A05172">
        <w:rPr>
          <w:rFonts w:ascii="Times New Roman" w:eastAsia="TimesNRMTPro" w:hAnsi="Times New Roman"/>
          <w:bCs/>
          <w:szCs w:val="24"/>
          <w:lang w:val="en-GB"/>
        </w:rPr>
        <w:t>.</w:t>
      </w:r>
      <w:r w:rsidRPr="00A30F9D">
        <w:rPr>
          <w:rFonts w:ascii="Times New Roman" w:eastAsia="TimesNRMTPro" w:hAnsi="Times New Roman"/>
          <w:bCs/>
          <w:szCs w:val="24"/>
          <w:lang w:val="en-GB"/>
        </w:rPr>
        <w:t xml:space="preserve"> </w:t>
      </w:r>
      <w:r w:rsidR="00A05172">
        <w:rPr>
          <w:rFonts w:ascii="Times New Roman" w:eastAsia="TimesNRMTPro" w:hAnsi="Times New Roman"/>
          <w:bCs/>
          <w:szCs w:val="24"/>
          <w:lang w:val="en-GB"/>
        </w:rPr>
        <w:t>(</w:t>
      </w:r>
      <w:r w:rsidRPr="00A30F9D">
        <w:rPr>
          <w:rFonts w:ascii="Times New Roman" w:eastAsia="TimesNRMTPro" w:hAnsi="Times New Roman"/>
          <w:bCs/>
          <w:szCs w:val="24"/>
          <w:lang w:val="en-GB"/>
        </w:rPr>
        <w:t>2015</w:t>
      </w:r>
      <w:r w:rsidR="00A05172">
        <w:rPr>
          <w:rFonts w:ascii="Times New Roman" w:eastAsia="TimesNRMTPro" w:hAnsi="Times New Roman"/>
          <w:bCs/>
          <w:szCs w:val="24"/>
          <w:lang w:val="en-GB"/>
        </w:rPr>
        <w:t>)</w:t>
      </w:r>
      <w:r w:rsidRPr="00A30F9D">
        <w:rPr>
          <w:rFonts w:ascii="Times New Roman" w:eastAsia="TimesNRMTPro" w:hAnsi="Times New Roman"/>
          <w:bCs/>
          <w:szCs w:val="24"/>
          <w:lang w:val="en-GB"/>
        </w:rPr>
        <w:t xml:space="preserve">, </w:t>
      </w:r>
      <w:r w:rsidR="00A05172">
        <w:rPr>
          <w:rFonts w:ascii="Times New Roman" w:eastAsia="TimesNRMTPro" w:hAnsi="Times New Roman"/>
          <w:bCs/>
          <w:szCs w:val="24"/>
          <w:lang w:val="en-GB"/>
        </w:rPr>
        <w:t>“</w:t>
      </w:r>
      <w:r w:rsidRPr="00A30F9D">
        <w:rPr>
          <w:rFonts w:ascii="Times New Roman" w:eastAsia="TimesNRMTPro" w:hAnsi="Times New Roman"/>
          <w:bCs/>
          <w:szCs w:val="24"/>
          <w:lang w:val="en-GB"/>
        </w:rPr>
        <w:t>Differences in accounting treatment of Ijarah: a case study of UAE Islamic banks</w:t>
      </w:r>
      <w:r w:rsidR="00A05172">
        <w:rPr>
          <w:rFonts w:ascii="Times New Roman" w:eastAsia="TimesNRMTPro" w:hAnsi="Times New Roman"/>
          <w:bCs/>
          <w:szCs w:val="24"/>
          <w:lang w:val="en-GB"/>
        </w:rPr>
        <w:t>”</w:t>
      </w:r>
      <w:r w:rsidRPr="00A30F9D">
        <w:rPr>
          <w:rFonts w:ascii="Times New Roman" w:eastAsia="TimesNRMTPro" w:hAnsi="Times New Roman"/>
          <w:bCs/>
          <w:szCs w:val="24"/>
          <w:lang w:val="en-GB"/>
        </w:rPr>
        <w:t xml:space="preserve">, </w:t>
      </w:r>
      <w:r w:rsidRPr="00A30F9D">
        <w:rPr>
          <w:rFonts w:ascii="Times New Roman" w:eastAsia="TimesNRMTPro" w:hAnsi="Times New Roman"/>
          <w:bCs/>
          <w:i/>
          <w:szCs w:val="24"/>
          <w:lang w:val="en-GB"/>
        </w:rPr>
        <w:t>International Journal of Islamic and Middle Eastern Finance and Management</w:t>
      </w:r>
      <w:r w:rsidR="00A05172">
        <w:rPr>
          <w:rFonts w:ascii="Times New Roman" w:eastAsia="TimesNRMTPro" w:hAnsi="Times New Roman"/>
          <w:bCs/>
          <w:szCs w:val="24"/>
          <w:lang w:val="en-GB"/>
        </w:rPr>
        <w:t>, Vol.</w:t>
      </w:r>
      <w:r w:rsidRPr="00A30F9D">
        <w:rPr>
          <w:rFonts w:ascii="Times New Roman" w:eastAsia="TimesNRMTPro" w:hAnsi="Times New Roman"/>
          <w:bCs/>
          <w:szCs w:val="24"/>
          <w:lang w:val="en-GB"/>
        </w:rPr>
        <w:t xml:space="preserve"> 8</w:t>
      </w:r>
      <w:r w:rsidR="00A05172">
        <w:rPr>
          <w:rFonts w:ascii="Times New Roman" w:eastAsia="TimesNRMTPro" w:hAnsi="Times New Roman"/>
          <w:bCs/>
          <w:szCs w:val="24"/>
          <w:lang w:val="en-GB"/>
        </w:rPr>
        <w:t xml:space="preserve"> No. </w:t>
      </w:r>
      <w:r w:rsidRPr="00A30F9D">
        <w:rPr>
          <w:rFonts w:ascii="Times New Roman" w:eastAsia="TimesNRMTPro" w:hAnsi="Times New Roman"/>
          <w:bCs/>
          <w:szCs w:val="24"/>
          <w:lang w:val="en-GB"/>
        </w:rPr>
        <w:t xml:space="preserve">3, </w:t>
      </w:r>
      <w:r w:rsidR="00A05172">
        <w:rPr>
          <w:rFonts w:ascii="Times New Roman" w:eastAsia="TimesNRMTPro" w:hAnsi="Times New Roman"/>
          <w:bCs/>
          <w:szCs w:val="24"/>
          <w:lang w:val="en-GB"/>
        </w:rPr>
        <w:t xml:space="preserve">pp. </w:t>
      </w:r>
      <w:r w:rsidRPr="00A30F9D">
        <w:rPr>
          <w:rFonts w:ascii="Times New Roman" w:eastAsia="TimesNRMTPro" w:hAnsi="Times New Roman"/>
          <w:bCs/>
          <w:szCs w:val="24"/>
          <w:lang w:val="en-GB"/>
        </w:rPr>
        <w:t>369 – 379</w:t>
      </w:r>
      <w:r>
        <w:rPr>
          <w:rFonts w:ascii="Times New Roman" w:eastAsia="TimesNRMTPro" w:hAnsi="Times New Roman"/>
          <w:bCs/>
          <w:szCs w:val="24"/>
          <w:lang w:val="en-GB"/>
        </w:rPr>
        <w:t>.</w:t>
      </w:r>
    </w:p>
    <w:p w:rsidR="001968BB" w:rsidRDefault="001968BB" w:rsidP="001968BB">
      <w:pPr>
        <w:spacing w:line="288" w:lineRule="auto"/>
        <w:rPr>
          <w:rFonts w:ascii="Times New Roman" w:eastAsia="TimesNRMTPro" w:hAnsi="Times New Roman"/>
          <w:szCs w:val="24"/>
          <w:lang w:val="en-GB"/>
        </w:rPr>
      </w:pPr>
    </w:p>
    <w:p w:rsidR="001968BB" w:rsidRDefault="001968BB" w:rsidP="001968BB">
      <w:pPr>
        <w:spacing w:line="288" w:lineRule="auto"/>
        <w:rPr>
          <w:rFonts w:ascii="Times New Roman" w:eastAsia="TimesNRMTPro" w:hAnsi="Times New Roman"/>
          <w:szCs w:val="24"/>
          <w:lang w:val="en-GB"/>
        </w:rPr>
      </w:pPr>
      <w:r w:rsidRPr="0056019D">
        <w:rPr>
          <w:rFonts w:ascii="Times New Roman" w:eastAsia="TimesNRMTPro" w:hAnsi="Times New Roman"/>
          <w:szCs w:val="24"/>
          <w:lang w:val="en-GB"/>
        </w:rPr>
        <w:t xml:space="preserve">Hanif, </w:t>
      </w:r>
      <w:r w:rsidR="00BE64B2">
        <w:rPr>
          <w:rFonts w:ascii="Times New Roman" w:eastAsia="TimesNRMTPro" w:hAnsi="Times New Roman"/>
          <w:szCs w:val="24"/>
          <w:lang w:val="en-GB"/>
        </w:rPr>
        <w:t xml:space="preserve"> M.</w:t>
      </w:r>
      <w:r>
        <w:rPr>
          <w:rFonts w:ascii="Times New Roman" w:eastAsia="TimesNRMTPro" w:hAnsi="Times New Roman"/>
          <w:szCs w:val="24"/>
          <w:lang w:val="en-GB"/>
        </w:rPr>
        <w:t xml:space="preserve"> </w:t>
      </w:r>
      <w:r w:rsidR="00BE64B2">
        <w:rPr>
          <w:rFonts w:ascii="Times New Roman" w:eastAsia="TimesNRMTPro" w:hAnsi="Times New Roman"/>
          <w:szCs w:val="24"/>
          <w:lang w:val="en-GB"/>
        </w:rPr>
        <w:t>(</w:t>
      </w:r>
      <w:r>
        <w:rPr>
          <w:rFonts w:ascii="Times New Roman" w:eastAsia="TimesNRMTPro" w:hAnsi="Times New Roman"/>
          <w:szCs w:val="24"/>
          <w:lang w:val="en-GB"/>
        </w:rPr>
        <w:t>2016</w:t>
      </w:r>
      <w:r w:rsidR="00BE64B2">
        <w:rPr>
          <w:rFonts w:ascii="Times New Roman" w:eastAsia="TimesNRMTPro" w:hAnsi="Times New Roman"/>
          <w:szCs w:val="24"/>
          <w:lang w:val="en-GB"/>
        </w:rPr>
        <w:t>)</w:t>
      </w:r>
      <w:r>
        <w:rPr>
          <w:rFonts w:ascii="Times New Roman" w:eastAsia="TimesNRMTPro" w:hAnsi="Times New Roman"/>
          <w:szCs w:val="24"/>
          <w:lang w:val="en-GB"/>
        </w:rPr>
        <w:t xml:space="preserve">, </w:t>
      </w:r>
      <w:r w:rsidR="00BE64B2">
        <w:rPr>
          <w:rFonts w:ascii="Times New Roman" w:eastAsia="TimesNRMTPro" w:hAnsi="Times New Roman"/>
          <w:szCs w:val="24"/>
          <w:lang w:val="en-GB"/>
        </w:rPr>
        <w:t>“</w:t>
      </w:r>
      <w:r w:rsidRPr="0056019D">
        <w:rPr>
          <w:rFonts w:ascii="Times New Roman" w:eastAsia="TimesNRMTPro" w:hAnsi="Times New Roman"/>
          <w:szCs w:val="24"/>
          <w:lang w:val="en-GB"/>
        </w:rPr>
        <w:t>Ijarah Accounting: A Comparison of Conventional IAS-17 and Islamic FAS-8</w:t>
      </w:r>
      <w:r w:rsidR="00BE64B2">
        <w:rPr>
          <w:rFonts w:ascii="Times New Roman" w:eastAsia="TimesNRMTPro" w:hAnsi="Times New Roman"/>
          <w:szCs w:val="24"/>
          <w:lang w:val="en-GB"/>
        </w:rPr>
        <w:t>”</w:t>
      </w:r>
      <w:r w:rsidRPr="0056019D">
        <w:rPr>
          <w:rFonts w:ascii="Times New Roman" w:eastAsia="TimesNRMTPro" w:hAnsi="Times New Roman"/>
          <w:szCs w:val="24"/>
          <w:lang w:val="en-GB"/>
        </w:rPr>
        <w:t xml:space="preserve">, </w:t>
      </w:r>
      <w:r w:rsidRPr="0056019D">
        <w:rPr>
          <w:rFonts w:ascii="Times New Roman" w:eastAsia="TimesNRMTPro" w:hAnsi="Times New Roman"/>
          <w:i/>
          <w:szCs w:val="24"/>
          <w:lang w:val="en-GB"/>
        </w:rPr>
        <w:t>Journal of Islamic Economics, Banking and Finance</w:t>
      </w:r>
      <w:r w:rsidR="00BE64B2">
        <w:rPr>
          <w:rFonts w:ascii="Times New Roman" w:eastAsia="TimesNRMTPro" w:hAnsi="Times New Roman"/>
          <w:szCs w:val="24"/>
          <w:lang w:val="en-GB"/>
        </w:rPr>
        <w:t xml:space="preserve">, Vol. </w:t>
      </w:r>
      <w:r w:rsidRPr="0056019D">
        <w:rPr>
          <w:rFonts w:ascii="Times New Roman" w:eastAsia="TimesNRMTPro" w:hAnsi="Times New Roman"/>
          <w:szCs w:val="24"/>
          <w:lang w:val="en-GB"/>
        </w:rPr>
        <w:t>12</w:t>
      </w:r>
      <w:r w:rsidR="00BE64B2">
        <w:rPr>
          <w:rFonts w:ascii="Times New Roman" w:eastAsia="TimesNRMTPro" w:hAnsi="Times New Roman"/>
          <w:szCs w:val="24"/>
          <w:lang w:val="en-GB"/>
        </w:rPr>
        <w:t xml:space="preserve"> No. </w:t>
      </w:r>
      <w:r>
        <w:rPr>
          <w:rFonts w:ascii="Times New Roman" w:eastAsia="TimesNRMTPro" w:hAnsi="Times New Roman"/>
          <w:szCs w:val="24"/>
          <w:lang w:val="en-GB"/>
        </w:rPr>
        <w:t xml:space="preserve">1, </w:t>
      </w:r>
      <w:r w:rsidR="00BE64B2">
        <w:rPr>
          <w:rFonts w:ascii="Times New Roman" w:eastAsia="TimesNRMTPro" w:hAnsi="Times New Roman"/>
          <w:szCs w:val="24"/>
          <w:lang w:val="en-GB"/>
        </w:rPr>
        <w:t xml:space="preserve">pp. </w:t>
      </w:r>
      <w:r>
        <w:rPr>
          <w:rFonts w:ascii="Times New Roman" w:eastAsia="TimesNRMTPro" w:hAnsi="Times New Roman"/>
          <w:szCs w:val="24"/>
          <w:lang w:val="en-GB"/>
        </w:rPr>
        <w:t>49-62.</w:t>
      </w:r>
    </w:p>
    <w:p w:rsidR="00FA4081" w:rsidRDefault="00FA4081" w:rsidP="00745E63">
      <w:pPr>
        <w:spacing w:line="288" w:lineRule="auto"/>
        <w:rPr>
          <w:rFonts w:ascii="Times New Roman" w:eastAsia="TimesNRMTPro" w:hAnsi="Times New Roman"/>
          <w:szCs w:val="24"/>
          <w:lang w:val="en-GB"/>
        </w:rPr>
      </w:pPr>
    </w:p>
    <w:p w:rsidR="00177BD7" w:rsidRPr="00177BD7" w:rsidRDefault="00177BD7" w:rsidP="00177BD7">
      <w:pPr>
        <w:autoSpaceDE w:val="0"/>
        <w:autoSpaceDN w:val="0"/>
        <w:adjustRightInd w:val="0"/>
        <w:spacing w:line="288" w:lineRule="auto"/>
        <w:rPr>
          <w:rFonts w:ascii="Times New Roman" w:hAnsi="Times New Roman"/>
          <w:lang w:val="en-GB"/>
        </w:rPr>
      </w:pPr>
      <w:r>
        <w:rPr>
          <w:rFonts w:ascii="Times New Roman" w:eastAsia="TimesNRMTPro" w:hAnsi="Times New Roman"/>
          <w:szCs w:val="24"/>
          <w:lang w:val="en-GB"/>
        </w:rPr>
        <w:t>Hidayat, S.E. (2016), “</w:t>
      </w:r>
      <w:r w:rsidRPr="00177BD7">
        <w:rPr>
          <w:rFonts w:ascii="Times New Roman" w:hAnsi="Times New Roman"/>
          <w:lang w:val="en-GB"/>
        </w:rPr>
        <w:t>The Application of International Financial Reporting Standards (IFRS) by Islamic Financial Institutions (IFIs): Benefits and Challenges</w:t>
      </w:r>
      <w:r>
        <w:rPr>
          <w:rFonts w:ascii="Times New Roman" w:hAnsi="Times New Roman"/>
          <w:lang w:val="en-GB"/>
        </w:rPr>
        <w:t>”</w:t>
      </w:r>
      <w:r w:rsidRPr="00177BD7">
        <w:rPr>
          <w:rFonts w:ascii="Times New Roman" w:hAnsi="Times New Roman"/>
          <w:lang w:val="en-GB"/>
        </w:rPr>
        <w:t xml:space="preserve">, </w:t>
      </w:r>
      <w:r w:rsidRPr="00177BD7">
        <w:rPr>
          <w:rFonts w:ascii="Times New Roman" w:hAnsi="Times New Roman"/>
          <w:i/>
          <w:lang w:val="en-GB"/>
        </w:rPr>
        <w:t>Journal of Islamic Economics, Banking and Finance</w:t>
      </w:r>
      <w:r>
        <w:rPr>
          <w:rFonts w:ascii="Times New Roman" w:hAnsi="Times New Roman"/>
          <w:lang w:val="en-GB"/>
        </w:rPr>
        <w:t xml:space="preserve">, Vol. </w:t>
      </w:r>
      <w:r w:rsidRPr="00177BD7">
        <w:rPr>
          <w:rFonts w:ascii="Times New Roman" w:hAnsi="Times New Roman"/>
          <w:lang w:val="en-GB"/>
        </w:rPr>
        <w:t>12</w:t>
      </w:r>
      <w:r>
        <w:rPr>
          <w:rFonts w:ascii="Times New Roman" w:hAnsi="Times New Roman"/>
          <w:lang w:val="en-GB"/>
        </w:rPr>
        <w:t xml:space="preserve"> No. </w:t>
      </w:r>
      <w:r w:rsidRPr="00177BD7">
        <w:rPr>
          <w:rFonts w:ascii="Times New Roman" w:hAnsi="Times New Roman"/>
          <w:lang w:val="en-GB"/>
        </w:rPr>
        <w:t xml:space="preserve">2, </w:t>
      </w:r>
      <w:r>
        <w:rPr>
          <w:rFonts w:ascii="Times New Roman" w:hAnsi="Times New Roman"/>
          <w:lang w:val="en-GB"/>
        </w:rPr>
        <w:t>pp.</w:t>
      </w:r>
      <w:r w:rsidRPr="00177BD7">
        <w:rPr>
          <w:rFonts w:ascii="Times New Roman" w:hAnsi="Times New Roman"/>
          <w:lang w:val="en-GB"/>
        </w:rPr>
        <w:t xml:space="preserve"> 113-122</w:t>
      </w:r>
      <w:r>
        <w:rPr>
          <w:rFonts w:ascii="Times New Roman" w:hAnsi="Times New Roman"/>
          <w:lang w:val="en-GB"/>
        </w:rPr>
        <w:t>.</w:t>
      </w:r>
    </w:p>
    <w:p w:rsidR="00177BD7" w:rsidRDefault="00177BD7" w:rsidP="00745E63">
      <w:pPr>
        <w:spacing w:line="288" w:lineRule="auto"/>
        <w:rPr>
          <w:rFonts w:ascii="Times New Roman" w:eastAsia="TimesNRMTPro" w:hAnsi="Times New Roman"/>
          <w:szCs w:val="24"/>
          <w:lang w:val="en-GB"/>
        </w:rPr>
      </w:pPr>
    </w:p>
    <w:p w:rsidR="00F570DA" w:rsidRDefault="00BE64B2" w:rsidP="00745E63">
      <w:pPr>
        <w:spacing w:line="288" w:lineRule="auto"/>
        <w:rPr>
          <w:rFonts w:ascii="Times New Roman" w:eastAsia="TimesNRMTPro" w:hAnsi="Times New Roman"/>
          <w:szCs w:val="24"/>
          <w:lang w:val="en-GB"/>
        </w:rPr>
      </w:pPr>
      <w:r>
        <w:rPr>
          <w:rFonts w:ascii="Times New Roman" w:hAnsi="Times New Roman"/>
          <w:szCs w:val="24"/>
          <w:lang w:val="en-GB"/>
        </w:rPr>
        <w:t>Howladar, K.</w:t>
      </w:r>
      <w:r w:rsidR="00F570DA">
        <w:rPr>
          <w:rFonts w:ascii="Times New Roman" w:hAnsi="Times New Roman"/>
          <w:szCs w:val="24"/>
          <w:lang w:val="en-GB"/>
        </w:rPr>
        <w:t xml:space="preserve"> </w:t>
      </w:r>
      <w:r>
        <w:rPr>
          <w:rFonts w:ascii="Times New Roman" w:hAnsi="Times New Roman"/>
          <w:szCs w:val="24"/>
          <w:lang w:val="en-GB"/>
        </w:rPr>
        <w:t>(</w:t>
      </w:r>
      <w:r w:rsidR="00F570DA" w:rsidRPr="00F570DA">
        <w:rPr>
          <w:rFonts w:ascii="Times New Roman" w:hAnsi="Times New Roman"/>
          <w:szCs w:val="24"/>
          <w:lang w:val="en-GB"/>
        </w:rPr>
        <w:t>2010</w:t>
      </w:r>
      <w:r>
        <w:rPr>
          <w:rFonts w:ascii="Times New Roman" w:hAnsi="Times New Roman"/>
          <w:szCs w:val="24"/>
          <w:lang w:val="en-GB"/>
        </w:rPr>
        <w:t>)</w:t>
      </w:r>
      <w:r w:rsidR="00F570DA" w:rsidRPr="00F570DA">
        <w:rPr>
          <w:rFonts w:ascii="Times New Roman" w:hAnsi="Times New Roman"/>
          <w:szCs w:val="24"/>
          <w:lang w:val="en-GB"/>
        </w:rPr>
        <w:t xml:space="preserve">, </w:t>
      </w:r>
      <w:r>
        <w:rPr>
          <w:rFonts w:ascii="Times New Roman" w:hAnsi="Times New Roman"/>
          <w:szCs w:val="24"/>
          <w:lang w:val="en-GB"/>
        </w:rPr>
        <w:t>“</w:t>
      </w:r>
      <w:r w:rsidR="00F570DA" w:rsidRPr="00BE64B2">
        <w:rPr>
          <w:rFonts w:ascii="Times New Roman" w:hAnsi="Times New Roman"/>
          <w:szCs w:val="24"/>
          <w:lang w:val="en-GB"/>
        </w:rPr>
        <w:t>Shari'ah Risk: Understanding</w:t>
      </w:r>
      <w:r w:rsidR="00F570DA" w:rsidRPr="00BE64B2">
        <w:rPr>
          <w:rFonts w:ascii="Times New Roman" w:hAnsi="Times New Roman"/>
          <w:noProof w:val="0"/>
          <w:szCs w:val="24"/>
          <w:lang w:val="en-GB"/>
        </w:rPr>
        <w:t xml:space="preserve"> Recent Compliance Issues in Islamic Finance</w:t>
      </w:r>
      <w:r>
        <w:rPr>
          <w:rFonts w:ascii="Times New Roman" w:hAnsi="Times New Roman"/>
          <w:noProof w:val="0"/>
          <w:szCs w:val="24"/>
          <w:lang w:val="en-GB"/>
        </w:rPr>
        <w:t>”</w:t>
      </w:r>
      <w:r w:rsidR="00F570DA" w:rsidRPr="00F570DA">
        <w:rPr>
          <w:rFonts w:ascii="Times New Roman" w:hAnsi="Times New Roman"/>
          <w:noProof w:val="0"/>
          <w:szCs w:val="24"/>
          <w:lang w:val="en-GB"/>
        </w:rPr>
        <w:t xml:space="preserve">, </w:t>
      </w:r>
      <w:r w:rsidR="00F570DA" w:rsidRPr="00BE64B2">
        <w:rPr>
          <w:rFonts w:ascii="Times New Roman" w:hAnsi="Times New Roman"/>
          <w:i/>
          <w:noProof w:val="0"/>
          <w:lang w:val="en-GB"/>
        </w:rPr>
        <w:t>Moody’s Investor Service Report</w:t>
      </w:r>
      <w:r w:rsidR="00F570DA">
        <w:rPr>
          <w:rFonts w:ascii="Times New Roman" w:hAnsi="Times New Roman"/>
          <w:noProof w:val="0"/>
          <w:lang w:val="en-GB"/>
        </w:rPr>
        <w:t>, May 10.</w:t>
      </w:r>
    </w:p>
    <w:p w:rsidR="00F570DA" w:rsidRDefault="00F570DA" w:rsidP="00745E63">
      <w:pPr>
        <w:spacing w:line="288" w:lineRule="auto"/>
        <w:rPr>
          <w:rFonts w:ascii="Times New Roman" w:eastAsia="TimesNRMTPro" w:hAnsi="Times New Roman"/>
          <w:szCs w:val="24"/>
          <w:lang w:val="en-GB"/>
        </w:rPr>
      </w:pPr>
    </w:p>
    <w:p w:rsidR="00745E63" w:rsidRDefault="00745E63" w:rsidP="00745E63">
      <w:pPr>
        <w:spacing w:line="288" w:lineRule="auto"/>
        <w:rPr>
          <w:rFonts w:ascii="Times New Roman" w:eastAsia="TimesNRMTPro" w:hAnsi="Times New Roman"/>
          <w:szCs w:val="24"/>
          <w:lang w:val="en-GB"/>
        </w:rPr>
      </w:pPr>
      <w:r w:rsidRPr="00C74225">
        <w:rPr>
          <w:rFonts w:ascii="Times New Roman" w:eastAsia="TimesNRMTPro" w:hAnsi="Times New Roman"/>
          <w:szCs w:val="24"/>
          <w:lang w:val="en-GB"/>
        </w:rPr>
        <w:t>Hunter,</w:t>
      </w:r>
      <w:r w:rsidR="00191EE7">
        <w:rPr>
          <w:rFonts w:ascii="Times New Roman" w:eastAsia="TimesNRMTPro" w:hAnsi="Times New Roman"/>
          <w:szCs w:val="24"/>
          <w:lang w:val="en-GB"/>
        </w:rPr>
        <w:t xml:space="preserve"> D.</w:t>
      </w:r>
      <w:r>
        <w:rPr>
          <w:rFonts w:ascii="Times New Roman" w:eastAsia="TimesNRMTPro" w:hAnsi="Times New Roman"/>
          <w:szCs w:val="24"/>
          <w:lang w:val="en-GB"/>
        </w:rPr>
        <w:t xml:space="preserve"> </w:t>
      </w:r>
      <w:r w:rsidR="00191EE7">
        <w:rPr>
          <w:rFonts w:ascii="Times New Roman" w:eastAsia="TimesNRMTPro" w:hAnsi="Times New Roman"/>
          <w:szCs w:val="24"/>
          <w:lang w:val="en-GB"/>
        </w:rPr>
        <w:t>(</w:t>
      </w:r>
      <w:r>
        <w:rPr>
          <w:rFonts w:ascii="Times New Roman" w:eastAsia="TimesNRMTPro" w:hAnsi="Times New Roman"/>
          <w:szCs w:val="24"/>
          <w:lang w:val="en-GB"/>
        </w:rPr>
        <w:t>2016</w:t>
      </w:r>
      <w:r w:rsidR="00191EE7">
        <w:rPr>
          <w:rFonts w:ascii="Times New Roman" w:eastAsia="TimesNRMTPro" w:hAnsi="Times New Roman"/>
          <w:szCs w:val="24"/>
          <w:lang w:val="en-GB"/>
        </w:rPr>
        <w:t>)</w:t>
      </w:r>
      <w:r>
        <w:rPr>
          <w:rFonts w:ascii="Times New Roman" w:eastAsia="TimesNRMTPro" w:hAnsi="Times New Roman"/>
          <w:szCs w:val="24"/>
          <w:lang w:val="en-GB"/>
        </w:rPr>
        <w:t>,</w:t>
      </w:r>
      <w:r w:rsidRPr="00C74225">
        <w:rPr>
          <w:rFonts w:ascii="Times New Roman" w:eastAsia="TimesNRMTPro" w:hAnsi="Times New Roman"/>
          <w:szCs w:val="24"/>
          <w:lang w:val="en-GB"/>
        </w:rPr>
        <w:t xml:space="preserve"> </w:t>
      </w:r>
      <w:r w:rsidR="00191EE7">
        <w:rPr>
          <w:rFonts w:ascii="Times New Roman" w:eastAsia="TimesNRMTPro" w:hAnsi="Times New Roman"/>
          <w:szCs w:val="24"/>
          <w:lang w:val="en-GB"/>
        </w:rPr>
        <w:t>“</w:t>
      </w:r>
      <w:r w:rsidRPr="00C74225">
        <w:rPr>
          <w:rFonts w:ascii="Times New Roman" w:eastAsia="TimesNRMTPro" w:hAnsi="Times New Roman"/>
          <w:szCs w:val="24"/>
          <w:lang w:val="en-GB"/>
        </w:rPr>
        <w:t>Chelsea Barracks: Tax consequences of Islamic Finance product heard by the Court of Appeal</w:t>
      </w:r>
      <w:r w:rsidR="00191EE7">
        <w:rPr>
          <w:rFonts w:ascii="Times New Roman" w:eastAsia="TimesNRMTPro" w:hAnsi="Times New Roman"/>
          <w:szCs w:val="24"/>
          <w:lang w:val="en-GB"/>
        </w:rPr>
        <w:t>”</w:t>
      </w:r>
      <w:r w:rsidRPr="00C74225">
        <w:rPr>
          <w:rFonts w:ascii="Times New Roman" w:eastAsia="TimesNRMTPro" w:hAnsi="Times New Roman"/>
          <w:szCs w:val="24"/>
          <w:lang w:val="en-GB"/>
        </w:rPr>
        <w:t xml:space="preserve">, </w:t>
      </w:r>
      <w:r w:rsidRPr="00191EE7">
        <w:rPr>
          <w:rFonts w:ascii="Times New Roman" w:eastAsia="TimesNRMTPro" w:hAnsi="Times New Roman"/>
          <w:i/>
          <w:szCs w:val="24"/>
          <w:lang w:val="en-GB"/>
        </w:rPr>
        <w:t>DAC Beachcroft Banking &amp; Finance Disputes Update</w:t>
      </w:r>
      <w:r w:rsidRPr="00C74225">
        <w:rPr>
          <w:rFonts w:ascii="Times New Roman" w:eastAsia="TimesNRMTPro" w:hAnsi="Times New Roman"/>
          <w:szCs w:val="24"/>
          <w:lang w:val="en-GB"/>
        </w:rPr>
        <w:t xml:space="preserve">, 4 July, </w:t>
      </w:r>
      <w:r w:rsidR="00191EE7">
        <w:rPr>
          <w:rFonts w:ascii="Times New Roman" w:eastAsia="TimesNRMTPro" w:hAnsi="Times New Roman"/>
          <w:szCs w:val="24"/>
          <w:lang w:val="en-GB"/>
        </w:rPr>
        <w:t xml:space="preserve">available at: </w:t>
      </w:r>
      <w:r w:rsidRPr="00C74225">
        <w:rPr>
          <w:rFonts w:ascii="Times New Roman" w:eastAsia="TimesNRMTPro" w:hAnsi="Times New Roman"/>
          <w:szCs w:val="24"/>
          <w:lang w:val="en-GB"/>
        </w:rPr>
        <w:t xml:space="preserve"> </w:t>
      </w:r>
      <w:r w:rsidR="00DE1F09">
        <w:rPr>
          <w:rFonts w:ascii="Times New Roman" w:eastAsia="TimesNRMTPro" w:hAnsi="Times New Roman"/>
          <w:szCs w:val="24"/>
          <w:lang w:val="en-GB"/>
        </w:rPr>
        <w:t>http://</w:t>
      </w:r>
      <w:r w:rsidRPr="00C74225">
        <w:rPr>
          <w:rFonts w:ascii="Times New Roman" w:eastAsia="TimesNRMTPro" w:hAnsi="Times New Roman"/>
          <w:szCs w:val="24"/>
          <w:lang w:val="en-GB"/>
        </w:rPr>
        <w:t>sites-dacb.vuturevx.com</w:t>
      </w:r>
      <w:r w:rsidR="00191EE7">
        <w:rPr>
          <w:rFonts w:ascii="Times New Roman" w:eastAsia="TimesNRMTPro" w:hAnsi="Times New Roman"/>
          <w:szCs w:val="24"/>
          <w:lang w:val="en-GB"/>
        </w:rPr>
        <w:t>.</w:t>
      </w:r>
    </w:p>
    <w:p w:rsidR="006F2ADD" w:rsidRDefault="006F2ADD" w:rsidP="006F2ADD">
      <w:pPr>
        <w:spacing w:line="288" w:lineRule="auto"/>
        <w:rPr>
          <w:rFonts w:ascii="Times New Roman" w:eastAsia="TimesNRMTPro" w:hAnsi="Times New Roman"/>
          <w:szCs w:val="24"/>
          <w:lang w:val="en-GB"/>
        </w:rPr>
      </w:pPr>
    </w:p>
    <w:p w:rsidR="006F2ADD" w:rsidRDefault="006F2ADD" w:rsidP="006F2ADD">
      <w:pPr>
        <w:spacing w:line="288" w:lineRule="auto"/>
        <w:rPr>
          <w:rFonts w:ascii="Times New Roman" w:eastAsia="TimesNRMTPro" w:hAnsi="Times New Roman"/>
          <w:szCs w:val="24"/>
          <w:lang w:val="en-GB"/>
        </w:rPr>
      </w:pPr>
      <w:r w:rsidRPr="006F2ADD">
        <w:rPr>
          <w:rFonts w:ascii="Times New Roman" w:eastAsia="TimesNRMTPro" w:hAnsi="Times New Roman"/>
          <w:i/>
          <w:szCs w:val="24"/>
          <w:lang w:val="en-GB"/>
        </w:rPr>
        <w:t>IFN Alerts</w:t>
      </w:r>
      <w:r>
        <w:rPr>
          <w:rFonts w:ascii="Times New Roman" w:eastAsia="TimesNRMTPro" w:hAnsi="Times New Roman"/>
          <w:szCs w:val="24"/>
          <w:lang w:val="en-GB"/>
        </w:rPr>
        <w:t xml:space="preserve"> (2015), “Basel III Tier 1 Sukuk regaining momentum”, 2 July,</w:t>
      </w:r>
      <w:r w:rsidR="00191EE7">
        <w:rPr>
          <w:rFonts w:ascii="Times New Roman" w:eastAsia="TimesNRMTPro" w:hAnsi="Times New Roman"/>
          <w:szCs w:val="24"/>
          <w:lang w:val="en-GB"/>
        </w:rPr>
        <w:t xml:space="preserve"> available at:</w:t>
      </w:r>
      <w:r>
        <w:rPr>
          <w:rFonts w:ascii="Times New Roman" w:eastAsia="TimesNRMTPro" w:hAnsi="Times New Roman"/>
          <w:szCs w:val="24"/>
          <w:lang w:val="en-GB"/>
        </w:rPr>
        <w:t xml:space="preserve"> </w:t>
      </w:r>
      <w:r w:rsidR="00DE1F09">
        <w:rPr>
          <w:rFonts w:ascii="Times New Roman" w:eastAsia="TimesNRMTPro" w:hAnsi="Times New Roman"/>
          <w:szCs w:val="24"/>
          <w:lang w:val="en-GB"/>
        </w:rPr>
        <w:t>http://</w:t>
      </w:r>
      <w:r w:rsidRPr="00F02C83">
        <w:rPr>
          <w:rFonts w:ascii="Times New Roman" w:eastAsia="TimesNRMTPro" w:hAnsi="Times New Roman"/>
          <w:szCs w:val="24"/>
          <w:lang w:val="en-GB"/>
        </w:rPr>
        <w:t>IslamicFinanceNews@redmoneygroup.com</w:t>
      </w:r>
      <w:r>
        <w:rPr>
          <w:rFonts w:ascii="Times New Roman" w:eastAsia="TimesNRMTPro" w:hAnsi="Times New Roman"/>
          <w:szCs w:val="24"/>
          <w:lang w:val="en-GB"/>
        </w:rPr>
        <w:t>.</w:t>
      </w:r>
    </w:p>
    <w:p w:rsidR="006B3610" w:rsidRDefault="006B3610" w:rsidP="006B3610">
      <w:pPr>
        <w:spacing w:line="288" w:lineRule="auto"/>
        <w:rPr>
          <w:rFonts w:ascii="Times New Roman" w:eastAsia="TimesNRMTPro" w:hAnsi="Times New Roman"/>
          <w:szCs w:val="24"/>
          <w:lang w:val="en-GB"/>
        </w:rPr>
      </w:pPr>
    </w:p>
    <w:p w:rsidR="004F5958" w:rsidRDefault="004F5958" w:rsidP="004F5958">
      <w:pPr>
        <w:widowControl w:val="0"/>
        <w:tabs>
          <w:tab w:val="left" w:pos="-720"/>
        </w:tabs>
        <w:jc w:val="both"/>
        <w:rPr>
          <w:rFonts w:ascii="Times New Roman" w:hAnsi="Times New Roman"/>
          <w:lang w:val="en-US"/>
        </w:rPr>
      </w:pPr>
      <w:r w:rsidRPr="00AD06A4">
        <w:rPr>
          <w:rFonts w:ascii="Times New Roman" w:hAnsi="Times New Roman"/>
          <w:i/>
          <w:iCs/>
          <w:lang w:val="en-US"/>
        </w:rPr>
        <w:t>IFRS 16 Effects Analysis</w:t>
      </w:r>
      <w:r w:rsidRPr="00AD06A4">
        <w:rPr>
          <w:rFonts w:ascii="Times New Roman" w:hAnsi="Times New Roman"/>
          <w:lang w:val="en-US"/>
        </w:rPr>
        <w:t>, 2016</w:t>
      </w:r>
      <w:r>
        <w:rPr>
          <w:rFonts w:ascii="Times New Roman" w:hAnsi="Times New Roman"/>
          <w:lang w:val="en-US"/>
        </w:rPr>
        <w:t xml:space="preserve">, </w:t>
      </w:r>
      <w:r w:rsidRPr="00C03976">
        <w:rPr>
          <w:rFonts w:ascii="Times New Roman" w:hAnsi="Times New Roman"/>
          <w:iCs/>
          <w:lang w:val="en-US"/>
        </w:rPr>
        <w:t>www.ifrs.org/-/media/project/.../ifrs/.../ifrs16-effects-analysis.pdf</w:t>
      </w:r>
      <w:r>
        <w:rPr>
          <w:rFonts w:ascii="Times New Roman" w:hAnsi="Times New Roman"/>
          <w:iCs/>
          <w:lang w:val="en-US"/>
        </w:rPr>
        <w:t>.</w:t>
      </w:r>
      <w:r w:rsidRPr="00AD06A4">
        <w:rPr>
          <w:rFonts w:ascii="Times New Roman" w:hAnsi="Times New Roman"/>
          <w:iCs/>
          <w:lang w:val="en-US"/>
        </w:rPr>
        <w:t xml:space="preserve"> </w:t>
      </w:r>
    </w:p>
    <w:p w:rsidR="004F5958" w:rsidRDefault="004F5958" w:rsidP="004F5958">
      <w:pPr>
        <w:widowControl w:val="0"/>
        <w:tabs>
          <w:tab w:val="left" w:pos="-720"/>
        </w:tabs>
        <w:jc w:val="both"/>
        <w:rPr>
          <w:rFonts w:ascii="Times New Roman" w:hAnsi="Times New Roman"/>
          <w:i/>
          <w:iCs/>
          <w:lang w:val="en-US"/>
        </w:rPr>
      </w:pPr>
    </w:p>
    <w:p w:rsidR="004F5958" w:rsidRPr="002F0EB6" w:rsidRDefault="004F5958" w:rsidP="004F5958">
      <w:pPr>
        <w:widowControl w:val="0"/>
        <w:tabs>
          <w:tab w:val="left" w:pos="-720"/>
        </w:tabs>
        <w:jc w:val="both"/>
        <w:rPr>
          <w:rFonts w:ascii="Times New Roman" w:hAnsi="Times New Roman"/>
          <w:bCs/>
          <w:kern w:val="36"/>
          <w:lang w:val="en-US"/>
        </w:rPr>
      </w:pPr>
      <w:r w:rsidRPr="00C03976">
        <w:rPr>
          <w:rFonts w:ascii="Times New Roman" w:hAnsi="Times New Roman"/>
          <w:i/>
          <w:iCs/>
          <w:lang w:val="en-US"/>
        </w:rPr>
        <w:t>IFRS 16 — Leases</w:t>
      </w:r>
      <w:r w:rsidRPr="00C03976">
        <w:rPr>
          <w:rFonts w:ascii="Times New Roman" w:hAnsi="Times New Roman"/>
          <w:lang w:val="en-US"/>
        </w:rPr>
        <w:t xml:space="preserve">, 2016, </w:t>
      </w:r>
      <w:r w:rsidRPr="00CA6F82">
        <w:rPr>
          <w:rFonts w:ascii="Times New Roman" w:hAnsi="Times New Roman"/>
          <w:lang w:val="en-US"/>
        </w:rPr>
        <w:t>https://www.iasplus.com/en/standards/ifrs/ifrs-16</w:t>
      </w:r>
      <w:r w:rsidRPr="00C03976">
        <w:rPr>
          <w:rFonts w:ascii="Times New Roman" w:hAnsi="Times New Roman"/>
          <w:iCs/>
          <w:lang w:val="en-US"/>
        </w:rPr>
        <w:t>.</w:t>
      </w:r>
    </w:p>
    <w:p w:rsidR="004F5958" w:rsidRDefault="004F5958" w:rsidP="006B3610">
      <w:pPr>
        <w:spacing w:line="288" w:lineRule="auto"/>
        <w:rPr>
          <w:rFonts w:ascii="Times New Roman" w:eastAsia="TimesNRMTPro" w:hAnsi="Times New Roman"/>
          <w:szCs w:val="24"/>
          <w:lang w:val="en-GB"/>
        </w:rPr>
      </w:pPr>
    </w:p>
    <w:p w:rsidR="006B3610" w:rsidRDefault="006B3610" w:rsidP="006B3610">
      <w:pPr>
        <w:spacing w:line="288" w:lineRule="auto"/>
        <w:rPr>
          <w:rFonts w:ascii="Times New Roman" w:eastAsia="TimesNRMTPro" w:hAnsi="Times New Roman"/>
          <w:szCs w:val="24"/>
          <w:lang w:val="en-GB"/>
        </w:rPr>
      </w:pPr>
      <w:r>
        <w:rPr>
          <w:rFonts w:ascii="Times New Roman" w:eastAsia="TimesNRMTPro" w:hAnsi="Times New Roman"/>
          <w:szCs w:val="24"/>
          <w:lang w:val="en-GB"/>
        </w:rPr>
        <w:t>IFSB (2015)</w:t>
      </w:r>
      <w:r w:rsidR="00A05172">
        <w:rPr>
          <w:rFonts w:ascii="Times New Roman" w:eastAsia="TimesNRMTPro" w:hAnsi="Times New Roman"/>
          <w:szCs w:val="24"/>
          <w:lang w:val="en-GB"/>
        </w:rPr>
        <w:t>,</w:t>
      </w:r>
      <w:r w:rsidRPr="00E90319">
        <w:rPr>
          <w:rFonts w:ascii="Times New Roman" w:eastAsia="TimesNRMTPro" w:hAnsi="Times New Roman"/>
          <w:i/>
          <w:szCs w:val="24"/>
          <w:lang w:val="en-GB"/>
        </w:rPr>
        <w:t xml:space="preserve"> </w:t>
      </w:r>
      <w:r w:rsidR="00A05172">
        <w:rPr>
          <w:rFonts w:ascii="Times New Roman" w:eastAsia="TimesNRMTPro" w:hAnsi="Times New Roman"/>
          <w:szCs w:val="24"/>
          <w:lang w:val="en-GB"/>
        </w:rPr>
        <w:t>“</w:t>
      </w:r>
      <w:r w:rsidRPr="00A05172">
        <w:rPr>
          <w:rFonts w:ascii="Times New Roman" w:eastAsia="TimesNRMTPro" w:hAnsi="Times New Roman"/>
          <w:szCs w:val="24"/>
          <w:lang w:val="en-GB"/>
        </w:rPr>
        <w:t>Guidance Note on Quantitative Measures for Liquidity Risk Management in Institutions Offering Islamic Financial Services [Excluding Islamic Insurance (Tak</w:t>
      </w:r>
      <w:r w:rsidRPr="00A05172">
        <w:rPr>
          <w:rFonts w:ascii="Times New Roman" w:eastAsia="TimesNRMTPro" w:hAnsi="Times New Roman" w:hint="eastAsia"/>
          <w:szCs w:val="24"/>
          <w:lang w:val="en-GB"/>
        </w:rPr>
        <w:t>ā</w:t>
      </w:r>
      <w:r w:rsidRPr="00A05172">
        <w:rPr>
          <w:rFonts w:ascii="Times New Roman" w:eastAsia="TimesNRMTPro" w:hAnsi="Times New Roman"/>
          <w:szCs w:val="24"/>
          <w:lang w:val="en-GB"/>
        </w:rPr>
        <w:t>ful) Institutions and Islamic Collective Investment Schemes]</w:t>
      </w:r>
      <w:r w:rsidR="00A05172">
        <w:rPr>
          <w:rFonts w:ascii="Times New Roman" w:eastAsia="TimesNRMTPro" w:hAnsi="Times New Roman"/>
          <w:szCs w:val="24"/>
          <w:lang w:val="en-GB"/>
        </w:rPr>
        <w:t>”</w:t>
      </w:r>
      <w:r w:rsidRPr="00E90319">
        <w:rPr>
          <w:rFonts w:ascii="Times New Roman" w:eastAsia="TimesNRMTPro" w:hAnsi="Times New Roman"/>
          <w:szCs w:val="24"/>
          <w:lang w:val="en-GB"/>
        </w:rPr>
        <w:t>,</w:t>
      </w:r>
      <w:r>
        <w:rPr>
          <w:rFonts w:ascii="Times New Roman" w:eastAsia="TimesNRMTPro" w:hAnsi="Times New Roman"/>
          <w:szCs w:val="24"/>
          <w:lang w:val="en-GB"/>
        </w:rPr>
        <w:t xml:space="preserve"> International Financial Services Board,</w:t>
      </w:r>
      <w:r w:rsidR="00DE1F09">
        <w:rPr>
          <w:rFonts w:ascii="Times New Roman" w:eastAsia="TimesNRMTPro" w:hAnsi="Times New Roman"/>
          <w:szCs w:val="24"/>
          <w:lang w:val="en-GB"/>
        </w:rPr>
        <w:t xml:space="preserve"> a</w:t>
      </w:r>
      <w:r w:rsidR="00A05172">
        <w:rPr>
          <w:rFonts w:ascii="Times New Roman" w:eastAsia="TimesNRMTPro" w:hAnsi="Times New Roman"/>
          <w:szCs w:val="24"/>
          <w:lang w:val="en-GB"/>
        </w:rPr>
        <w:t xml:space="preserve">vailable at: </w:t>
      </w:r>
      <w:r>
        <w:rPr>
          <w:rFonts w:ascii="Times New Roman" w:eastAsia="TimesNRMTPro" w:hAnsi="Times New Roman"/>
          <w:szCs w:val="24"/>
          <w:lang w:val="en-GB"/>
        </w:rPr>
        <w:t xml:space="preserve"> </w:t>
      </w:r>
      <w:r w:rsidRPr="00E90319">
        <w:rPr>
          <w:rFonts w:ascii="Times New Roman" w:eastAsia="TimesNRMTPro" w:hAnsi="Times New Roman"/>
          <w:szCs w:val="24"/>
          <w:lang w:val="en-GB"/>
        </w:rPr>
        <w:t>http://www.ifsb.org/standard/GN-6%20GN%20on%20LRM%20(December%202015)%20(final).pdf</w:t>
      </w:r>
      <w:r w:rsidR="00444CBE">
        <w:rPr>
          <w:rFonts w:ascii="Times New Roman" w:eastAsia="TimesNRMTPro" w:hAnsi="Times New Roman"/>
          <w:szCs w:val="24"/>
          <w:lang w:val="en-GB"/>
        </w:rPr>
        <w:t>.</w:t>
      </w:r>
    </w:p>
    <w:p w:rsidR="00D521FE" w:rsidRDefault="00D521FE" w:rsidP="0051212C">
      <w:pPr>
        <w:spacing w:line="288" w:lineRule="auto"/>
        <w:rPr>
          <w:rFonts w:ascii="Times New Roman" w:hAnsi="Times New Roman"/>
          <w:i/>
          <w:spacing w:val="-2"/>
          <w:lang w:val="en-US"/>
        </w:rPr>
      </w:pPr>
    </w:p>
    <w:p w:rsidR="00D521FE" w:rsidRDefault="00D521FE" w:rsidP="00D521FE">
      <w:pPr>
        <w:spacing w:line="288" w:lineRule="auto"/>
        <w:rPr>
          <w:rFonts w:ascii="Times New Roman" w:hAnsi="Times New Roman"/>
          <w:i/>
          <w:lang w:val="en-US"/>
        </w:rPr>
      </w:pPr>
      <w:r w:rsidRPr="003F5907">
        <w:rPr>
          <w:rFonts w:ascii="Times New Roman" w:hAnsi="Times New Roman"/>
          <w:lang w:val="en-US"/>
        </w:rPr>
        <w:t>Ilter</w:t>
      </w:r>
      <w:r>
        <w:rPr>
          <w:rFonts w:ascii="Times New Roman" w:hAnsi="Times New Roman"/>
          <w:lang w:val="en-US"/>
        </w:rPr>
        <w:t>, Cenap,</w:t>
      </w:r>
      <w:r w:rsidRPr="003F5907">
        <w:rPr>
          <w:rFonts w:ascii="Times New Roman" w:hAnsi="Times New Roman"/>
          <w:lang w:val="en-US"/>
        </w:rPr>
        <w:t xml:space="preserve"> and Sherif Elbarrad</w:t>
      </w:r>
      <w:r>
        <w:rPr>
          <w:rFonts w:ascii="Times New Roman" w:hAnsi="Times New Roman"/>
          <w:lang w:val="en-US"/>
        </w:rPr>
        <w:t xml:space="preserve"> (2013)</w:t>
      </w:r>
      <w:r w:rsidRPr="003F5907">
        <w:rPr>
          <w:rFonts w:ascii="Times New Roman" w:hAnsi="Times New Roman"/>
          <w:lang w:val="en-US"/>
        </w:rPr>
        <w:t xml:space="preserve">, </w:t>
      </w:r>
      <w:r>
        <w:rPr>
          <w:rFonts w:ascii="Times New Roman" w:hAnsi="Times New Roman"/>
          <w:lang w:val="en-US"/>
        </w:rPr>
        <w:t>‘</w:t>
      </w:r>
      <w:r w:rsidRPr="003F5907">
        <w:rPr>
          <w:rFonts w:ascii="Times New Roman" w:hAnsi="Times New Roman"/>
          <w:i/>
          <w:lang w:val="en-US"/>
        </w:rPr>
        <w:t>Murabaha</w:t>
      </w:r>
      <w:r w:rsidRPr="003F5907">
        <w:rPr>
          <w:rFonts w:ascii="Times New Roman" w:hAnsi="Times New Roman"/>
          <w:lang w:val="en-US"/>
        </w:rPr>
        <w:t xml:space="preserve"> – An Islamic Financing Mode and the Challenges vis-à-vis the International Accounting Standards</w:t>
      </w:r>
      <w:r>
        <w:rPr>
          <w:rFonts w:ascii="Times New Roman" w:hAnsi="Times New Roman"/>
          <w:lang w:val="en-US"/>
        </w:rPr>
        <w:t>’</w:t>
      </w:r>
      <w:r w:rsidRPr="003F5907">
        <w:rPr>
          <w:rFonts w:ascii="Times New Roman" w:hAnsi="Times New Roman"/>
          <w:lang w:val="en-US"/>
        </w:rPr>
        <w:t xml:space="preserve">, </w:t>
      </w:r>
      <w:r w:rsidRPr="003F5907">
        <w:rPr>
          <w:rFonts w:ascii="Times New Roman" w:hAnsi="Times New Roman"/>
          <w:i/>
          <w:lang w:val="en-US"/>
        </w:rPr>
        <w:t xml:space="preserve">Journal of Islamic Business and </w:t>
      </w:r>
    </w:p>
    <w:p w:rsidR="00041CAC" w:rsidRDefault="00D521FE" w:rsidP="0051212C">
      <w:pPr>
        <w:spacing w:line="288" w:lineRule="auto"/>
        <w:rPr>
          <w:rFonts w:ascii="Times New Roman" w:hAnsi="Times New Roman"/>
          <w:lang w:val="en-US"/>
        </w:rPr>
      </w:pPr>
      <w:r w:rsidRPr="003F5907">
        <w:rPr>
          <w:rFonts w:ascii="Times New Roman" w:hAnsi="Times New Roman"/>
          <w:i/>
          <w:lang w:val="en-US"/>
        </w:rPr>
        <w:t>Management</w:t>
      </w:r>
      <w:r>
        <w:rPr>
          <w:rFonts w:ascii="Times New Roman" w:hAnsi="Times New Roman"/>
          <w:iCs/>
          <w:lang w:val="en-US"/>
        </w:rPr>
        <w:t xml:space="preserve">, </w:t>
      </w:r>
      <w:r w:rsidRPr="00D521FE">
        <w:rPr>
          <w:rFonts w:ascii="Times New Roman" w:hAnsi="Times New Roman"/>
          <w:b/>
          <w:bCs/>
          <w:lang w:val="en-US"/>
        </w:rPr>
        <w:t>3</w:t>
      </w:r>
      <w:r>
        <w:rPr>
          <w:rFonts w:ascii="Times New Roman" w:hAnsi="Times New Roman"/>
          <w:lang w:val="en-US"/>
        </w:rPr>
        <w:t xml:space="preserve"> (</w:t>
      </w:r>
      <w:r w:rsidRPr="003F5907">
        <w:rPr>
          <w:rFonts w:ascii="Times New Roman" w:hAnsi="Times New Roman"/>
          <w:lang w:val="en-US"/>
        </w:rPr>
        <w:t>1</w:t>
      </w:r>
      <w:r>
        <w:rPr>
          <w:rFonts w:ascii="Times New Roman" w:hAnsi="Times New Roman"/>
          <w:lang w:val="en-US"/>
        </w:rPr>
        <w:t xml:space="preserve">), </w:t>
      </w:r>
    </w:p>
    <w:p w:rsidR="00D521FE" w:rsidRDefault="00D521FE" w:rsidP="0051212C">
      <w:pPr>
        <w:spacing w:line="288" w:lineRule="auto"/>
        <w:rPr>
          <w:rFonts w:ascii="Times New Roman" w:eastAsia="TimesNRMTPro" w:hAnsi="Times New Roman"/>
          <w:szCs w:val="24"/>
          <w:lang w:val="en-GB"/>
        </w:rPr>
      </w:pPr>
    </w:p>
    <w:p w:rsidR="00C56FF0" w:rsidRDefault="00E1738E" w:rsidP="0051212C">
      <w:pPr>
        <w:spacing w:line="288" w:lineRule="auto"/>
        <w:rPr>
          <w:rFonts w:ascii="Times New Roman" w:eastAsia="TimesNRMTPro" w:hAnsi="Times New Roman"/>
          <w:szCs w:val="24"/>
          <w:lang w:val="en-GB"/>
        </w:rPr>
      </w:pPr>
      <w:r>
        <w:rPr>
          <w:rFonts w:ascii="Times New Roman" w:hAnsi="Times New Roman"/>
          <w:spacing w:val="-2"/>
          <w:lang w:val="en-US"/>
        </w:rPr>
        <w:t>Kabir, Md.N</w:t>
      </w:r>
      <w:r w:rsidR="00DE1F09">
        <w:rPr>
          <w:rFonts w:ascii="Times New Roman" w:hAnsi="Times New Roman"/>
          <w:spacing w:val="-2"/>
          <w:lang w:val="en-US"/>
        </w:rPr>
        <w:t>.</w:t>
      </w:r>
      <w:r w:rsidR="00C56FF0">
        <w:rPr>
          <w:rFonts w:ascii="Times New Roman" w:hAnsi="Times New Roman"/>
          <w:spacing w:val="-2"/>
          <w:lang w:val="en-US"/>
        </w:rPr>
        <w:t>,</w:t>
      </w:r>
      <w:r>
        <w:rPr>
          <w:rFonts w:ascii="Times New Roman" w:hAnsi="Times New Roman"/>
          <w:spacing w:val="-2"/>
          <w:lang w:val="en-US"/>
        </w:rPr>
        <w:t xml:space="preserve"> </w:t>
      </w:r>
      <w:r w:rsidR="00C56FF0" w:rsidRPr="00C56FF0">
        <w:rPr>
          <w:rFonts w:ascii="Times New Roman" w:hAnsi="Times New Roman"/>
          <w:spacing w:val="-2"/>
          <w:lang w:val="en-US"/>
        </w:rPr>
        <w:t>Worthington</w:t>
      </w:r>
      <w:r w:rsidR="00DE1F09">
        <w:rPr>
          <w:rFonts w:ascii="Times New Roman" w:hAnsi="Times New Roman"/>
          <w:spacing w:val="-2"/>
          <w:lang w:val="en-US"/>
        </w:rPr>
        <w:t xml:space="preserve">. A. </w:t>
      </w:r>
      <w:r w:rsidR="001F1549">
        <w:rPr>
          <w:rFonts w:ascii="Times New Roman" w:hAnsi="Times New Roman"/>
          <w:spacing w:val="-2"/>
          <w:lang w:val="en-US"/>
        </w:rPr>
        <w:t xml:space="preserve">and </w:t>
      </w:r>
      <w:r w:rsidR="00C56FF0" w:rsidRPr="00C56FF0">
        <w:rPr>
          <w:rFonts w:ascii="Times New Roman" w:hAnsi="Times New Roman"/>
          <w:spacing w:val="-2"/>
          <w:lang w:val="en-US"/>
        </w:rPr>
        <w:t>Gupta,</w:t>
      </w:r>
      <w:r w:rsidR="00DE1F09">
        <w:rPr>
          <w:rFonts w:ascii="Times New Roman" w:hAnsi="Times New Roman"/>
          <w:spacing w:val="-2"/>
          <w:lang w:val="en-US"/>
        </w:rPr>
        <w:t xml:space="preserve"> R. (</w:t>
      </w:r>
      <w:r w:rsidR="00C56FF0" w:rsidRPr="00C56FF0">
        <w:rPr>
          <w:rFonts w:ascii="Times New Roman" w:hAnsi="Times New Roman"/>
          <w:spacing w:val="-2"/>
          <w:lang w:val="en-US"/>
        </w:rPr>
        <w:t xml:space="preserve"> </w:t>
      </w:r>
      <w:r w:rsidR="00C56FF0">
        <w:rPr>
          <w:rFonts w:ascii="Times New Roman" w:hAnsi="Times New Roman"/>
          <w:spacing w:val="-2"/>
          <w:lang w:val="en-US"/>
        </w:rPr>
        <w:t>2015</w:t>
      </w:r>
      <w:r w:rsidR="00DE1F09">
        <w:rPr>
          <w:rFonts w:ascii="Times New Roman" w:hAnsi="Times New Roman"/>
          <w:spacing w:val="-2"/>
          <w:lang w:val="en-US"/>
        </w:rPr>
        <w:t>)</w:t>
      </w:r>
      <w:r w:rsidR="00C56FF0">
        <w:rPr>
          <w:rFonts w:ascii="Times New Roman" w:hAnsi="Times New Roman"/>
          <w:spacing w:val="-2"/>
          <w:lang w:val="en-US"/>
        </w:rPr>
        <w:t xml:space="preserve">, </w:t>
      </w:r>
      <w:r w:rsidR="00DE1F09">
        <w:rPr>
          <w:rFonts w:ascii="Times New Roman" w:hAnsi="Times New Roman"/>
          <w:spacing w:val="-2"/>
          <w:lang w:val="en-US"/>
        </w:rPr>
        <w:t>“</w:t>
      </w:r>
      <w:r w:rsidR="00C56FF0" w:rsidRPr="00C56FF0">
        <w:rPr>
          <w:rFonts w:ascii="Times New Roman" w:hAnsi="Times New Roman"/>
          <w:spacing w:val="-2"/>
          <w:lang w:val="en-US"/>
        </w:rPr>
        <w:t>Comparative credit risk in Islamic and conventional bank</w:t>
      </w:r>
      <w:r w:rsidR="00C56FF0">
        <w:rPr>
          <w:rFonts w:ascii="Times New Roman" w:hAnsi="Times New Roman"/>
          <w:spacing w:val="-2"/>
          <w:lang w:val="en-US"/>
        </w:rPr>
        <w:t>s</w:t>
      </w:r>
      <w:r w:rsidR="00DE1F09">
        <w:rPr>
          <w:rFonts w:ascii="Times New Roman" w:hAnsi="Times New Roman"/>
          <w:spacing w:val="-2"/>
          <w:lang w:val="en-US"/>
        </w:rPr>
        <w:t>”</w:t>
      </w:r>
      <w:r w:rsidR="00C56FF0" w:rsidRPr="00C56FF0">
        <w:rPr>
          <w:rFonts w:ascii="Times New Roman" w:hAnsi="Times New Roman"/>
          <w:spacing w:val="-2"/>
          <w:lang w:val="en-US"/>
        </w:rPr>
        <w:t xml:space="preserve">, </w:t>
      </w:r>
      <w:r w:rsidR="00DE1F09">
        <w:rPr>
          <w:rFonts w:ascii="Times New Roman" w:hAnsi="Times New Roman"/>
          <w:i/>
          <w:spacing w:val="-2"/>
          <w:lang w:val="en-US"/>
        </w:rPr>
        <w:t>Pacific-Basin Finance Journal</w:t>
      </w:r>
      <w:r w:rsidR="00DE1F09">
        <w:rPr>
          <w:rFonts w:ascii="Times New Roman" w:hAnsi="Times New Roman"/>
          <w:spacing w:val="-2"/>
          <w:lang w:val="en-US"/>
        </w:rPr>
        <w:t xml:space="preserve">, Vol. </w:t>
      </w:r>
      <w:r w:rsidR="00C56FF0" w:rsidRPr="00C56FF0">
        <w:rPr>
          <w:rFonts w:ascii="Times New Roman" w:hAnsi="Times New Roman"/>
          <w:spacing w:val="-2"/>
          <w:lang w:val="en-US"/>
        </w:rPr>
        <w:t>34,</w:t>
      </w:r>
      <w:r w:rsidR="00DE1F09">
        <w:rPr>
          <w:rFonts w:ascii="Times New Roman" w:hAnsi="Times New Roman"/>
          <w:spacing w:val="-2"/>
          <w:lang w:val="en-US"/>
        </w:rPr>
        <w:t xml:space="preserve"> pp.</w:t>
      </w:r>
      <w:r w:rsidR="00C56FF0" w:rsidRPr="00C56FF0">
        <w:rPr>
          <w:rFonts w:ascii="Times New Roman" w:hAnsi="Times New Roman"/>
          <w:spacing w:val="-2"/>
          <w:lang w:val="en-US"/>
        </w:rPr>
        <w:t xml:space="preserve"> 327-353</w:t>
      </w:r>
      <w:r w:rsidR="00C56FF0">
        <w:rPr>
          <w:rFonts w:ascii="Times New Roman" w:hAnsi="Times New Roman"/>
          <w:spacing w:val="-2"/>
          <w:lang w:val="en-US"/>
        </w:rPr>
        <w:t>.</w:t>
      </w:r>
    </w:p>
    <w:p w:rsidR="00C56FF0" w:rsidRDefault="00C56FF0" w:rsidP="0051212C">
      <w:pPr>
        <w:spacing w:line="288" w:lineRule="auto"/>
        <w:rPr>
          <w:rFonts w:ascii="Times New Roman" w:eastAsia="TimesNRMTPro" w:hAnsi="Times New Roman"/>
          <w:szCs w:val="24"/>
          <w:lang w:val="en-GB"/>
        </w:rPr>
      </w:pPr>
    </w:p>
    <w:p w:rsidR="0051212C" w:rsidRPr="00BE6B8D" w:rsidRDefault="0051212C" w:rsidP="0051212C">
      <w:pPr>
        <w:spacing w:line="288" w:lineRule="auto"/>
        <w:rPr>
          <w:rFonts w:ascii="Times New Roman" w:eastAsia="TimesNRMTPro" w:hAnsi="Times New Roman"/>
          <w:szCs w:val="24"/>
          <w:lang w:val="en-GB"/>
        </w:rPr>
      </w:pPr>
      <w:r w:rsidRPr="00BE6B8D">
        <w:rPr>
          <w:rFonts w:ascii="Times New Roman" w:hAnsi="Times New Roman"/>
          <w:szCs w:val="24"/>
          <w:lang w:val="en-GB"/>
        </w:rPr>
        <w:t>Kanji, R</w:t>
      </w:r>
      <w:r w:rsidR="00C3037B">
        <w:rPr>
          <w:rFonts w:ascii="Times New Roman" w:hAnsi="Times New Roman"/>
          <w:szCs w:val="24"/>
          <w:lang w:val="en-GB"/>
        </w:rPr>
        <w:t>.</w:t>
      </w:r>
      <w:r w:rsidR="00CB720E">
        <w:rPr>
          <w:rFonts w:ascii="Times New Roman" w:hAnsi="Times New Roman"/>
          <w:szCs w:val="24"/>
          <w:lang w:val="en-GB"/>
        </w:rPr>
        <w:t>H.</w:t>
      </w:r>
      <w:r w:rsidRPr="00BE6B8D">
        <w:rPr>
          <w:rFonts w:ascii="Times New Roman" w:hAnsi="Times New Roman"/>
          <w:szCs w:val="24"/>
          <w:lang w:val="en-GB"/>
        </w:rPr>
        <w:t xml:space="preserve"> and Gill, </w:t>
      </w:r>
      <w:r w:rsidR="00DE1F09">
        <w:rPr>
          <w:rFonts w:ascii="Times New Roman" w:hAnsi="Times New Roman"/>
          <w:szCs w:val="24"/>
          <w:lang w:val="en-GB"/>
        </w:rPr>
        <w:t>P. (</w:t>
      </w:r>
      <w:r w:rsidRPr="00BE6B8D">
        <w:rPr>
          <w:rFonts w:ascii="Times New Roman" w:hAnsi="Times New Roman"/>
          <w:szCs w:val="24"/>
          <w:lang w:val="en-GB"/>
        </w:rPr>
        <w:t>2013</w:t>
      </w:r>
      <w:r w:rsidR="00DE1F09">
        <w:rPr>
          <w:rFonts w:ascii="Times New Roman" w:hAnsi="Times New Roman"/>
          <w:szCs w:val="24"/>
          <w:lang w:val="en-GB"/>
        </w:rPr>
        <w:t>)</w:t>
      </w:r>
      <w:r w:rsidRPr="00BE6B8D">
        <w:rPr>
          <w:rFonts w:ascii="Times New Roman" w:hAnsi="Times New Roman"/>
          <w:szCs w:val="24"/>
          <w:lang w:val="en-GB"/>
        </w:rPr>
        <w:t xml:space="preserve">, </w:t>
      </w:r>
      <w:r w:rsidR="00DE1F09">
        <w:rPr>
          <w:rFonts w:ascii="Times New Roman" w:hAnsi="Times New Roman"/>
          <w:szCs w:val="24"/>
          <w:lang w:val="en-GB"/>
        </w:rPr>
        <w:t>“</w:t>
      </w:r>
      <w:r w:rsidRPr="00BE6B8D">
        <w:rPr>
          <w:rFonts w:ascii="Times New Roman" w:hAnsi="Times New Roman"/>
          <w:szCs w:val="24"/>
          <w:lang w:val="en-GB"/>
        </w:rPr>
        <w:t>Europe’s First Subordinated Tier 2 Sukuk : Asya Sukuk Company Limited</w:t>
      </w:r>
      <w:r w:rsidR="00DE1F09">
        <w:rPr>
          <w:rFonts w:ascii="Times New Roman" w:hAnsi="Times New Roman"/>
          <w:szCs w:val="24"/>
          <w:lang w:val="en-GB"/>
        </w:rPr>
        <w:t>”</w:t>
      </w:r>
      <w:r w:rsidRPr="00BE6B8D">
        <w:rPr>
          <w:rFonts w:ascii="Times New Roman" w:hAnsi="Times New Roman"/>
          <w:szCs w:val="24"/>
          <w:lang w:val="en-GB"/>
        </w:rPr>
        <w:t>, King &amp; Spalding,</w:t>
      </w:r>
      <w:r w:rsidR="00DE1F09">
        <w:rPr>
          <w:rFonts w:ascii="Times New Roman" w:hAnsi="Times New Roman"/>
          <w:szCs w:val="24"/>
          <w:lang w:val="en-GB"/>
        </w:rPr>
        <w:t xml:space="preserve"> available at</w:t>
      </w:r>
      <w:r w:rsidRPr="00BE6B8D">
        <w:rPr>
          <w:rFonts w:ascii="Times New Roman" w:hAnsi="Times New Roman"/>
          <w:szCs w:val="24"/>
          <w:lang w:val="en-GB"/>
        </w:rPr>
        <w:t xml:space="preserve"> </w:t>
      </w:r>
      <w:r w:rsidR="00DE1F09">
        <w:rPr>
          <w:rFonts w:ascii="Times New Roman" w:hAnsi="Times New Roman"/>
          <w:szCs w:val="24"/>
          <w:lang w:val="en-GB"/>
        </w:rPr>
        <w:t>http://</w:t>
      </w:r>
      <w:r w:rsidRPr="00BE6B8D">
        <w:rPr>
          <w:rFonts w:ascii="Times New Roman" w:hAnsi="Times New Roman"/>
          <w:lang w:val="en-US"/>
        </w:rPr>
        <w:t>www.kslaw.com/library/publication/AsyaSukuk.pdf</w:t>
      </w:r>
      <w:r w:rsidR="00DE1F09">
        <w:rPr>
          <w:rFonts w:ascii="Times New Roman" w:hAnsi="Times New Roman"/>
          <w:lang w:val="en-US"/>
        </w:rPr>
        <w:t>.</w:t>
      </w:r>
    </w:p>
    <w:p w:rsidR="00EB007F" w:rsidRDefault="00EB007F" w:rsidP="0061646B">
      <w:pPr>
        <w:spacing w:line="288" w:lineRule="auto"/>
        <w:rPr>
          <w:rFonts w:ascii="Times New Roman" w:hAnsi="Times New Roman"/>
          <w:snapToGrid w:val="0"/>
          <w:lang w:val="en-GB"/>
        </w:rPr>
      </w:pPr>
    </w:p>
    <w:p w:rsidR="001F1549" w:rsidRPr="001F1549" w:rsidRDefault="001F1549" w:rsidP="0061646B">
      <w:pPr>
        <w:spacing w:line="288" w:lineRule="auto"/>
        <w:rPr>
          <w:rFonts w:ascii="Times New Roman" w:hAnsi="Times New Roman"/>
          <w:snapToGrid w:val="0"/>
          <w:lang w:val="en-GB"/>
        </w:rPr>
      </w:pPr>
      <w:r>
        <w:rPr>
          <w:rFonts w:ascii="Times New Roman" w:hAnsi="Times New Roman"/>
          <w:snapToGrid w:val="0"/>
          <w:lang w:val="en-GB"/>
        </w:rPr>
        <w:t xml:space="preserve">Kettell, B. (2011), </w:t>
      </w:r>
      <w:r>
        <w:rPr>
          <w:rFonts w:ascii="Times New Roman" w:hAnsi="Times New Roman"/>
          <w:i/>
          <w:snapToGrid w:val="0"/>
          <w:lang w:val="en-GB"/>
        </w:rPr>
        <w:t>Case studies in Islamic banking and finance</w:t>
      </w:r>
      <w:r>
        <w:rPr>
          <w:rFonts w:ascii="Times New Roman" w:hAnsi="Times New Roman"/>
          <w:snapToGrid w:val="0"/>
          <w:lang w:val="en-GB"/>
        </w:rPr>
        <w:t>, Wiley, Chichester.</w:t>
      </w:r>
    </w:p>
    <w:p w:rsidR="001F1549" w:rsidRDefault="001F1549" w:rsidP="0061646B">
      <w:pPr>
        <w:spacing w:line="288" w:lineRule="auto"/>
        <w:rPr>
          <w:rFonts w:ascii="Times New Roman" w:hAnsi="Times New Roman"/>
          <w:snapToGrid w:val="0"/>
          <w:lang w:val="en-GB"/>
        </w:rPr>
      </w:pPr>
    </w:p>
    <w:p w:rsidR="002900C7" w:rsidRDefault="000934C1" w:rsidP="002900C7">
      <w:pPr>
        <w:spacing w:line="288" w:lineRule="auto"/>
        <w:rPr>
          <w:rFonts w:ascii="Times New Roman" w:eastAsia="TimesNRMTPro" w:hAnsi="Times New Roman"/>
          <w:szCs w:val="24"/>
          <w:lang w:val="en-GB"/>
        </w:rPr>
      </w:pPr>
      <w:r w:rsidRPr="000934C1">
        <w:rPr>
          <w:rFonts w:ascii="Times New Roman" w:hAnsi="Times New Roman"/>
          <w:snapToGrid w:val="0"/>
          <w:lang w:val="en-GB"/>
        </w:rPr>
        <w:t>Khairuddin bin Hj Arshad</w:t>
      </w:r>
      <w:r w:rsidR="002900C7">
        <w:rPr>
          <w:rFonts w:ascii="Times New Roman" w:hAnsi="Times New Roman"/>
          <w:snapToGrid w:val="0"/>
          <w:lang w:val="en-GB"/>
        </w:rPr>
        <w:t>, M.</w:t>
      </w:r>
      <w:r w:rsidR="002900C7">
        <w:rPr>
          <w:rFonts w:ascii="Times New Roman" w:eastAsia="TimesNRMTPro" w:hAnsi="Times New Roman"/>
          <w:szCs w:val="24"/>
          <w:lang w:val="en-GB"/>
        </w:rPr>
        <w:t xml:space="preserve"> (</w:t>
      </w:r>
      <w:r w:rsidR="002900C7" w:rsidRPr="00DA287F">
        <w:rPr>
          <w:rFonts w:ascii="Times New Roman" w:eastAsia="TimesNRMTPro" w:hAnsi="Times New Roman"/>
          <w:szCs w:val="24"/>
          <w:lang w:val="en-GB"/>
        </w:rPr>
        <w:t>2011</w:t>
      </w:r>
      <w:r w:rsidR="002900C7">
        <w:rPr>
          <w:rFonts w:ascii="Times New Roman" w:eastAsia="TimesNRMTPro" w:hAnsi="Times New Roman"/>
          <w:szCs w:val="24"/>
          <w:lang w:val="en-GB"/>
        </w:rPr>
        <w:t>)</w:t>
      </w:r>
      <w:r w:rsidR="002900C7" w:rsidRPr="00DA287F">
        <w:rPr>
          <w:rFonts w:ascii="Times New Roman" w:eastAsia="TimesNRMTPro" w:hAnsi="Times New Roman"/>
          <w:szCs w:val="24"/>
          <w:lang w:val="en-GB"/>
        </w:rPr>
        <w:t>,</w:t>
      </w:r>
      <w:r w:rsidR="002900C7" w:rsidRPr="00DA287F">
        <w:rPr>
          <w:rFonts w:ascii="Times New Roman" w:eastAsia="TimesNRMTPro" w:hAnsi="Times New Roman"/>
          <w:i/>
          <w:szCs w:val="24"/>
          <w:lang w:val="en-GB"/>
        </w:rPr>
        <w:t xml:space="preserve"> </w:t>
      </w:r>
      <w:r w:rsidR="002900C7">
        <w:rPr>
          <w:rFonts w:ascii="Times New Roman" w:eastAsia="TimesNRMTPro" w:hAnsi="Times New Roman"/>
          <w:szCs w:val="24"/>
          <w:lang w:val="en-GB"/>
        </w:rPr>
        <w:t>“</w:t>
      </w:r>
      <w:r w:rsidR="002900C7" w:rsidRPr="00DA287F">
        <w:rPr>
          <w:rFonts w:ascii="Times New Roman" w:eastAsia="TimesNRMTPro" w:hAnsi="Times New Roman"/>
          <w:szCs w:val="24"/>
          <w:lang w:val="en-GB"/>
        </w:rPr>
        <w:t>Implementation of an Islamic Deposit Insurance System for the Islamic Financial Services Industry</w:t>
      </w:r>
      <w:r w:rsidR="002900C7">
        <w:rPr>
          <w:rFonts w:ascii="Times New Roman" w:eastAsia="TimesNRMTPro" w:hAnsi="Times New Roman"/>
          <w:szCs w:val="24"/>
          <w:lang w:val="en-GB"/>
        </w:rPr>
        <w:t>”</w:t>
      </w:r>
      <w:r w:rsidR="002900C7" w:rsidRPr="00DA287F">
        <w:rPr>
          <w:rFonts w:ascii="Times New Roman" w:eastAsia="TimesNRMTPro" w:hAnsi="Times New Roman"/>
          <w:szCs w:val="24"/>
          <w:lang w:val="en-GB"/>
        </w:rPr>
        <w:t xml:space="preserve">, paper </w:t>
      </w:r>
      <w:r w:rsidR="002900C7">
        <w:rPr>
          <w:rFonts w:ascii="Times New Roman" w:eastAsia="TimesNRMTPro" w:hAnsi="Times New Roman"/>
          <w:szCs w:val="24"/>
          <w:lang w:val="en-GB"/>
        </w:rPr>
        <w:t>presented at</w:t>
      </w:r>
      <w:r w:rsidR="002900C7" w:rsidRPr="00DA287F">
        <w:rPr>
          <w:rFonts w:ascii="Times New Roman" w:eastAsia="TimesNRMTPro" w:hAnsi="Times New Roman"/>
          <w:szCs w:val="24"/>
          <w:lang w:val="en-GB"/>
        </w:rPr>
        <w:t xml:space="preserve"> the Fourth Islamic Financial Stability Forum, </w:t>
      </w:r>
      <w:r w:rsidR="002900C7">
        <w:rPr>
          <w:rFonts w:ascii="Times New Roman" w:eastAsia="TimesNRMTPro" w:hAnsi="Times New Roman"/>
          <w:szCs w:val="24"/>
          <w:lang w:val="en-GB"/>
        </w:rPr>
        <w:t>“</w:t>
      </w:r>
      <w:r w:rsidR="002900C7" w:rsidRPr="00DA287F">
        <w:rPr>
          <w:rFonts w:ascii="Times New Roman" w:eastAsia="TimesNRMTPro" w:hAnsi="Times New Roman"/>
          <w:szCs w:val="24"/>
          <w:lang w:val="en-GB"/>
        </w:rPr>
        <w:t>Strengthening Financial Safety Nets in the Islamic Financial Services Industry</w:t>
      </w:r>
      <w:r w:rsidR="002900C7">
        <w:rPr>
          <w:rFonts w:ascii="Times New Roman" w:eastAsia="TimesNRMTPro" w:hAnsi="Times New Roman"/>
          <w:szCs w:val="24"/>
          <w:lang w:val="en-GB"/>
        </w:rPr>
        <w:t>”</w:t>
      </w:r>
      <w:r w:rsidR="002900C7" w:rsidRPr="00DA287F">
        <w:rPr>
          <w:rFonts w:ascii="Times New Roman" w:eastAsia="TimesNRMTPro" w:hAnsi="Times New Roman"/>
          <w:szCs w:val="24"/>
          <w:lang w:val="en-GB"/>
        </w:rPr>
        <w:t xml:space="preserve">, </w:t>
      </w:r>
      <w:r w:rsidR="002900C7">
        <w:rPr>
          <w:rFonts w:ascii="Times New Roman" w:eastAsia="TimesNRMTPro" w:hAnsi="Times New Roman"/>
          <w:szCs w:val="24"/>
          <w:lang w:val="en-GB"/>
        </w:rPr>
        <w:t>1</w:t>
      </w:r>
      <w:r w:rsidR="0035639B">
        <w:rPr>
          <w:rFonts w:ascii="Times New Roman" w:eastAsia="TimesNRMTPro" w:hAnsi="Times New Roman"/>
          <w:szCs w:val="24"/>
          <w:lang w:val="en-GB"/>
        </w:rPr>
        <w:t>7 November</w:t>
      </w:r>
      <w:r w:rsidR="002900C7" w:rsidRPr="00DA287F">
        <w:rPr>
          <w:rFonts w:ascii="Times New Roman" w:eastAsia="TimesNRMTPro" w:hAnsi="Times New Roman"/>
          <w:szCs w:val="24"/>
          <w:lang w:val="en-GB"/>
        </w:rPr>
        <w:t xml:space="preserve">,  </w:t>
      </w:r>
      <w:r w:rsidR="002900C7">
        <w:rPr>
          <w:rFonts w:ascii="Times New Roman" w:eastAsia="TimesNRMTPro" w:hAnsi="Times New Roman"/>
          <w:szCs w:val="24"/>
          <w:lang w:val="en-GB"/>
        </w:rPr>
        <w:t xml:space="preserve">Kuala Lumpur, available at: </w:t>
      </w:r>
      <w:r w:rsidR="0035639B" w:rsidRPr="0035639B">
        <w:rPr>
          <w:rFonts w:ascii="Times New Roman" w:eastAsia="TimesNRMTPro" w:hAnsi="Times New Roman"/>
          <w:szCs w:val="24"/>
          <w:lang w:val="en-GB"/>
        </w:rPr>
        <w:t>http://www.ifsb.org/docs/IFSF4_Md%20Khairuddin%20Hj%20Arshad_paper_FINAL_pdf.pdf</w:t>
      </w:r>
      <w:r w:rsidR="002900C7">
        <w:rPr>
          <w:rFonts w:ascii="Times New Roman" w:eastAsia="TimesNRMTPro" w:hAnsi="Times New Roman"/>
          <w:szCs w:val="24"/>
          <w:lang w:val="en-GB"/>
        </w:rPr>
        <w:t>.</w:t>
      </w:r>
    </w:p>
    <w:p w:rsidR="0035639B" w:rsidRDefault="0035639B" w:rsidP="002900C7">
      <w:pPr>
        <w:spacing w:line="288" w:lineRule="auto"/>
        <w:rPr>
          <w:rFonts w:ascii="Times New Roman" w:eastAsia="TimesNRMTPro" w:hAnsi="Times New Roman"/>
          <w:szCs w:val="24"/>
          <w:lang w:val="en-GB"/>
        </w:rPr>
      </w:pPr>
    </w:p>
    <w:p w:rsidR="00565BCB" w:rsidRPr="00565BCB" w:rsidRDefault="00565BCB" w:rsidP="00565BCB">
      <w:pPr>
        <w:widowControl w:val="0"/>
        <w:spacing w:line="288" w:lineRule="auto"/>
        <w:rPr>
          <w:rFonts w:ascii="Times New Roman" w:hAnsi="Times New Roman"/>
          <w:noProof w:val="0"/>
          <w:lang w:val="en-GB"/>
        </w:rPr>
      </w:pPr>
      <w:r>
        <w:rPr>
          <w:rFonts w:ascii="Times New Roman" w:eastAsia="TimesNRMTPro" w:hAnsi="Times New Roman"/>
          <w:szCs w:val="24"/>
          <w:lang w:val="en-GB"/>
        </w:rPr>
        <w:t>Khan, M.F. (2010), “</w:t>
      </w:r>
      <w:r w:rsidRPr="00565BCB">
        <w:rPr>
          <w:rFonts w:ascii="Times New Roman" w:hAnsi="Times New Roman"/>
          <w:noProof w:val="0"/>
          <w:lang w:val="en-GB"/>
        </w:rPr>
        <w:t>Islamic banking in Europe: the regulatory challenge</w:t>
      </w:r>
      <w:r>
        <w:rPr>
          <w:rFonts w:ascii="Times New Roman" w:eastAsia="TimesNRMTPro" w:hAnsi="Times New Roman"/>
          <w:szCs w:val="24"/>
          <w:lang w:val="en-GB"/>
        </w:rPr>
        <w:t>”</w:t>
      </w:r>
      <w:r w:rsidRPr="00DA287F">
        <w:rPr>
          <w:rFonts w:ascii="Times New Roman" w:eastAsia="TimesNRMTPro" w:hAnsi="Times New Roman"/>
          <w:szCs w:val="24"/>
          <w:lang w:val="en-GB"/>
        </w:rPr>
        <w:t>,</w:t>
      </w:r>
      <w:r w:rsidR="00CB720E">
        <w:rPr>
          <w:rFonts w:ascii="Times New Roman" w:eastAsia="TimesNRMTPro" w:hAnsi="Times New Roman"/>
          <w:szCs w:val="24"/>
          <w:lang w:val="en-GB"/>
        </w:rPr>
        <w:t xml:space="preserve"> in Khan, M.F.</w:t>
      </w:r>
      <w:r>
        <w:rPr>
          <w:rFonts w:ascii="Times New Roman" w:eastAsia="TimesNRMTPro" w:hAnsi="Times New Roman"/>
          <w:szCs w:val="24"/>
          <w:lang w:val="en-GB"/>
        </w:rPr>
        <w:t xml:space="preserve"> and Porzio, M., </w:t>
      </w:r>
      <w:r w:rsidRPr="00565BCB">
        <w:rPr>
          <w:rFonts w:ascii="Times New Roman" w:hAnsi="Times New Roman"/>
          <w:i/>
          <w:noProof w:val="0"/>
          <w:lang w:val="en-GB"/>
        </w:rPr>
        <w:t>Islamic Banking and Finance in the European Union: A Challenge</w:t>
      </w:r>
      <w:r w:rsidRPr="00565BCB">
        <w:rPr>
          <w:rFonts w:ascii="Times New Roman" w:hAnsi="Times New Roman"/>
          <w:noProof w:val="0"/>
          <w:lang w:val="en-GB"/>
        </w:rPr>
        <w:t>, Edward Elgar, Cheltenha</w:t>
      </w:r>
      <w:r>
        <w:rPr>
          <w:rFonts w:ascii="Times New Roman" w:hAnsi="Times New Roman"/>
          <w:noProof w:val="0"/>
          <w:lang w:val="en-GB"/>
        </w:rPr>
        <w:t>m, UK, and Northampton, MA, USA, pp. 61-75.</w:t>
      </w:r>
    </w:p>
    <w:p w:rsidR="00565BCB" w:rsidRDefault="00565BCB" w:rsidP="002900C7">
      <w:pPr>
        <w:spacing w:line="288" w:lineRule="auto"/>
        <w:rPr>
          <w:rFonts w:ascii="Times New Roman" w:eastAsia="TimesNRMTPro" w:hAnsi="Times New Roman"/>
          <w:szCs w:val="24"/>
          <w:lang w:val="en-GB"/>
        </w:rPr>
      </w:pPr>
    </w:p>
    <w:p w:rsidR="0035639B" w:rsidRDefault="0035639B" w:rsidP="0035639B">
      <w:pPr>
        <w:spacing w:line="288" w:lineRule="auto"/>
        <w:rPr>
          <w:rFonts w:ascii="Times New Roman" w:eastAsia="TimesNRMTPro" w:hAnsi="Times New Roman"/>
          <w:szCs w:val="24"/>
          <w:lang w:val="en-GB"/>
        </w:rPr>
      </w:pPr>
      <w:r>
        <w:rPr>
          <w:rFonts w:ascii="Times New Roman" w:eastAsia="TimesNRMTPro" w:hAnsi="Times New Roman"/>
          <w:szCs w:val="24"/>
          <w:lang w:val="en-GB"/>
        </w:rPr>
        <w:t>Klepic, D. (2009), “</w:t>
      </w:r>
      <w:r w:rsidRPr="0035639B">
        <w:rPr>
          <w:rFonts w:ascii="Times New Roman" w:eastAsia="TimesNRMTPro" w:hAnsi="Times New Roman"/>
          <w:bCs/>
          <w:szCs w:val="24"/>
          <w:lang w:val="en-GB"/>
        </w:rPr>
        <w:t>Islamic Banking in Bosnia and Herzegovina</w:t>
      </w:r>
      <w:r>
        <w:rPr>
          <w:rFonts w:ascii="Times New Roman" w:eastAsia="TimesNRMTPro" w:hAnsi="Times New Roman"/>
          <w:szCs w:val="24"/>
          <w:lang w:val="en-GB"/>
        </w:rPr>
        <w:t>”, Sector Report, UK Trade &amp; Investment (now Department for International Trade), no longer available.</w:t>
      </w:r>
    </w:p>
    <w:p w:rsidR="000934C1" w:rsidRPr="00EB007F" w:rsidRDefault="000934C1" w:rsidP="0061646B">
      <w:pPr>
        <w:spacing w:line="288" w:lineRule="auto"/>
        <w:rPr>
          <w:rFonts w:ascii="Times New Roman" w:hAnsi="Times New Roman"/>
          <w:snapToGrid w:val="0"/>
          <w:lang w:val="en-GB"/>
        </w:rPr>
      </w:pPr>
    </w:p>
    <w:p w:rsidR="0061646B" w:rsidRPr="008A06E8" w:rsidRDefault="0061646B" w:rsidP="0061646B">
      <w:pPr>
        <w:spacing w:line="288" w:lineRule="auto"/>
        <w:rPr>
          <w:rFonts w:ascii="Times New Roman" w:eastAsia="TimesNRMTPro" w:hAnsi="Times New Roman"/>
          <w:szCs w:val="24"/>
          <w:lang w:val="en-US"/>
        </w:rPr>
      </w:pPr>
      <w:r w:rsidRPr="001A3E0A">
        <w:rPr>
          <w:rFonts w:ascii="Times New Roman" w:hAnsi="Times New Roman"/>
          <w:snapToGrid w:val="0"/>
        </w:rPr>
        <w:t>Kranenborg, R</w:t>
      </w:r>
      <w:r w:rsidR="00C3037B">
        <w:rPr>
          <w:rFonts w:ascii="Times New Roman" w:hAnsi="Times New Roman"/>
          <w:snapToGrid w:val="0"/>
        </w:rPr>
        <w:t>.</w:t>
      </w:r>
      <w:r w:rsidRPr="001A3E0A">
        <w:rPr>
          <w:rFonts w:ascii="Times New Roman" w:hAnsi="Times New Roman"/>
          <w:snapToGrid w:val="0"/>
        </w:rPr>
        <w:t>P. and Talal</w:t>
      </w:r>
      <w:r w:rsidRPr="001A3E0A">
        <w:rPr>
          <w:rFonts w:ascii="Times New Roman" w:hAnsi="Times New Roman"/>
          <w:b/>
          <w:snapToGrid w:val="0"/>
        </w:rPr>
        <w:t>,</w:t>
      </w:r>
      <w:r w:rsidRPr="001A3E0A">
        <w:rPr>
          <w:rFonts w:ascii="Times New Roman" w:hAnsi="Times New Roman"/>
          <w:snapToGrid w:val="0"/>
        </w:rPr>
        <w:t xml:space="preserve"> </w:t>
      </w:r>
      <w:r w:rsidR="00C3037B">
        <w:rPr>
          <w:rFonts w:ascii="Times New Roman" w:hAnsi="Times New Roman"/>
          <w:snapToGrid w:val="0"/>
        </w:rPr>
        <w:t>R. (</w:t>
      </w:r>
      <w:r w:rsidRPr="001A3E0A">
        <w:rPr>
          <w:rFonts w:ascii="Times New Roman" w:hAnsi="Times New Roman"/>
          <w:snapToGrid w:val="0"/>
        </w:rPr>
        <w:t>2007</w:t>
      </w:r>
      <w:r w:rsidR="00C3037B">
        <w:rPr>
          <w:rFonts w:ascii="Times New Roman" w:hAnsi="Times New Roman"/>
          <w:snapToGrid w:val="0"/>
        </w:rPr>
        <w:t>)</w:t>
      </w:r>
      <w:r w:rsidRPr="001A3E0A">
        <w:rPr>
          <w:rFonts w:ascii="Times New Roman" w:hAnsi="Times New Roman"/>
          <w:b/>
          <w:snapToGrid w:val="0"/>
        </w:rPr>
        <w:t xml:space="preserve">, </w:t>
      </w:r>
      <w:r w:rsidR="00C3037B">
        <w:rPr>
          <w:rFonts w:ascii="Times New Roman" w:hAnsi="Times New Roman"/>
          <w:b/>
          <w:snapToGrid w:val="0"/>
        </w:rPr>
        <w:t>“</w:t>
      </w:r>
      <w:r w:rsidRPr="001A3E0A">
        <w:rPr>
          <w:rFonts w:ascii="Times New Roman" w:hAnsi="Times New Roman"/>
        </w:rPr>
        <w:t xml:space="preserve">Islamitisch financieren – en de zgn. eigenwoningregeling van art. 3.111 Wet IB 2001. </w:t>
      </w:r>
      <w:r w:rsidR="00C3037B" w:rsidRPr="008A06E8">
        <w:rPr>
          <w:rFonts w:ascii="Times New Roman" w:hAnsi="Times New Roman"/>
          <w:lang w:val="en-US"/>
        </w:rPr>
        <w:t xml:space="preserve">Dualiteit of perspectief?”, </w:t>
      </w:r>
      <w:r w:rsidR="00C3037B" w:rsidRPr="008A06E8">
        <w:rPr>
          <w:rFonts w:ascii="Times New Roman" w:hAnsi="Times New Roman"/>
          <w:i/>
          <w:lang w:val="en-US"/>
        </w:rPr>
        <w:t>W</w:t>
      </w:r>
      <w:r w:rsidRPr="008A06E8">
        <w:rPr>
          <w:rFonts w:ascii="Times New Roman" w:hAnsi="Times New Roman"/>
          <w:i/>
          <w:lang w:val="en-US"/>
        </w:rPr>
        <w:t>eekblad Fiscaal Recht</w:t>
      </w:r>
      <w:r w:rsidR="00C3037B" w:rsidRPr="008A06E8">
        <w:rPr>
          <w:rFonts w:ascii="Times New Roman" w:hAnsi="Times New Roman"/>
          <w:lang w:val="en-US"/>
        </w:rPr>
        <w:t xml:space="preserve">, Vol. </w:t>
      </w:r>
      <w:r w:rsidRPr="008A06E8">
        <w:rPr>
          <w:rFonts w:ascii="Times New Roman" w:hAnsi="Times New Roman"/>
          <w:lang w:val="en-US"/>
        </w:rPr>
        <w:t>136</w:t>
      </w:r>
      <w:r w:rsidR="00C3037B" w:rsidRPr="008A06E8">
        <w:rPr>
          <w:rFonts w:ascii="Times New Roman" w:hAnsi="Times New Roman"/>
          <w:lang w:val="en-US"/>
        </w:rPr>
        <w:t xml:space="preserve"> No. </w:t>
      </w:r>
      <w:r w:rsidRPr="008A06E8">
        <w:rPr>
          <w:rFonts w:ascii="Times New Roman" w:hAnsi="Times New Roman"/>
          <w:lang w:val="en-US"/>
        </w:rPr>
        <w:t xml:space="preserve">6742, 22 November, </w:t>
      </w:r>
      <w:r w:rsidR="00C3037B" w:rsidRPr="008A06E8">
        <w:rPr>
          <w:rFonts w:ascii="Times New Roman" w:hAnsi="Times New Roman"/>
          <w:lang w:val="en-US"/>
        </w:rPr>
        <w:t xml:space="preserve">pp. </w:t>
      </w:r>
      <w:r w:rsidRPr="008A06E8">
        <w:rPr>
          <w:rFonts w:ascii="Times New Roman" w:hAnsi="Times New Roman"/>
          <w:lang w:val="en-US"/>
        </w:rPr>
        <w:t>1259-1267.</w:t>
      </w:r>
    </w:p>
    <w:p w:rsidR="0061646B" w:rsidRPr="008A06E8" w:rsidRDefault="0061646B" w:rsidP="0061646B">
      <w:pPr>
        <w:spacing w:line="288" w:lineRule="auto"/>
        <w:rPr>
          <w:rFonts w:ascii="Times New Roman" w:eastAsia="TimesNRMTPro" w:hAnsi="Times New Roman"/>
          <w:szCs w:val="24"/>
          <w:lang w:val="en-US"/>
        </w:rPr>
      </w:pPr>
    </w:p>
    <w:p w:rsidR="0061646B" w:rsidRPr="00C3037B" w:rsidRDefault="0061646B" w:rsidP="0061646B">
      <w:pPr>
        <w:spacing w:line="288" w:lineRule="auto"/>
        <w:rPr>
          <w:rFonts w:ascii="Times New Roman" w:hAnsi="Times New Roman"/>
          <w:lang w:val="en-GB"/>
        </w:rPr>
      </w:pPr>
      <w:r w:rsidRPr="00C3037B">
        <w:rPr>
          <w:rFonts w:ascii="Times New Roman" w:hAnsi="Times New Roman"/>
          <w:lang w:val="es-ES"/>
        </w:rPr>
        <w:t>López Mejía, A</w:t>
      </w:r>
      <w:r w:rsidR="00C3037B" w:rsidRPr="00C3037B">
        <w:rPr>
          <w:rFonts w:ascii="Times New Roman" w:hAnsi="Times New Roman"/>
          <w:lang w:val="es-ES"/>
        </w:rPr>
        <w:t>.</w:t>
      </w:r>
      <w:r w:rsidRPr="00C3037B">
        <w:rPr>
          <w:rFonts w:ascii="Times New Roman" w:hAnsi="Times New Roman"/>
          <w:lang w:val="es-ES"/>
        </w:rPr>
        <w:t xml:space="preserve">, </w:t>
      </w:r>
      <w:r w:rsidR="00C3037B" w:rsidRPr="00C3037B">
        <w:rPr>
          <w:rFonts w:ascii="Times New Roman" w:hAnsi="Times New Roman"/>
          <w:lang w:val="es-ES"/>
        </w:rPr>
        <w:t>A</w:t>
      </w:r>
      <w:r w:rsidRPr="00C3037B">
        <w:rPr>
          <w:rFonts w:ascii="Times New Roman" w:hAnsi="Times New Roman"/>
          <w:lang w:val="es-ES"/>
        </w:rPr>
        <w:t xml:space="preserve">ljabrin, </w:t>
      </w:r>
      <w:r w:rsidR="00C3037B" w:rsidRPr="00C3037B">
        <w:rPr>
          <w:rFonts w:ascii="Times New Roman" w:hAnsi="Times New Roman"/>
          <w:lang w:val="es-ES"/>
        </w:rPr>
        <w:t xml:space="preserve">S., </w:t>
      </w:r>
      <w:r w:rsidRPr="00C3037B">
        <w:rPr>
          <w:rFonts w:ascii="Times New Roman" w:hAnsi="Times New Roman"/>
          <w:lang w:val="es-ES"/>
        </w:rPr>
        <w:t xml:space="preserve">Awad, </w:t>
      </w:r>
      <w:r w:rsidR="00C3037B" w:rsidRPr="00C3037B">
        <w:rPr>
          <w:rFonts w:ascii="Times New Roman" w:hAnsi="Times New Roman"/>
          <w:lang w:val="es-ES"/>
        </w:rPr>
        <w:t xml:space="preserve">R., </w:t>
      </w:r>
      <w:r w:rsidRPr="00C3037B">
        <w:rPr>
          <w:rFonts w:ascii="Times New Roman" w:hAnsi="Times New Roman"/>
          <w:lang w:val="es-ES"/>
        </w:rPr>
        <w:t>Norat</w:t>
      </w:r>
      <w:r w:rsidR="00C3037B" w:rsidRPr="00C3037B">
        <w:rPr>
          <w:rFonts w:ascii="Times New Roman" w:hAnsi="Times New Roman"/>
          <w:lang w:val="es-ES"/>
        </w:rPr>
        <w:t xml:space="preserve"> M. </w:t>
      </w:r>
      <w:r w:rsidRPr="00C3037B">
        <w:rPr>
          <w:rFonts w:ascii="Times New Roman" w:hAnsi="Times New Roman"/>
          <w:lang w:val="es-ES"/>
        </w:rPr>
        <w:t xml:space="preserve"> </w:t>
      </w:r>
      <w:r w:rsidRPr="00C3037B">
        <w:rPr>
          <w:rFonts w:ascii="Times New Roman" w:hAnsi="Times New Roman"/>
          <w:lang w:val="en-GB"/>
        </w:rPr>
        <w:t xml:space="preserve">and Song, </w:t>
      </w:r>
      <w:r w:rsidR="00C3037B">
        <w:rPr>
          <w:rFonts w:ascii="Times New Roman" w:hAnsi="Times New Roman"/>
          <w:lang w:val="en-GB"/>
        </w:rPr>
        <w:t>I. (</w:t>
      </w:r>
      <w:r w:rsidRPr="00C3037B">
        <w:rPr>
          <w:rFonts w:ascii="Times New Roman" w:hAnsi="Times New Roman"/>
          <w:lang w:val="en-GB"/>
        </w:rPr>
        <w:t>2014</w:t>
      </w:r>
      <w:r w:rsidR="00C3037B">
        <w:rPr>
          <w:rFonts w:ascii="Times New Roman" w:hAnsi="Times New Roman"/>
          <w:lang w:val="en-GB"/>
        </w:rPr>
        <w:t>)</w:t>
      </w:r>
      <w:r w:rsidRPr="00C3037B">
        <w:rPr>
          <w:rFonts w:ascii="Times New Roman" w:hAnsi="Times New Roman"/>
          <w:lang w:val="en-GB"/>
        </w:rPr>
        <w:t xml:space="preserve">, </w:t>
      </w:r>
      <w:r w:rsidR="00C3037B">
        <w:rPr>
          <w:rFonts w:ascii="Times New Roman" w:hAnsi="Times New Roman"/>
          <w:lang w:val="en-GB"/>
        </w:rPr>
        <w:t>“</w:t>
      </w:r>
      <w:r w:rsidRPr="00C3037B">
        <w:rPr>
          <w:rFonts w:ascii="Times New Roman" w:hAnsi="Times New Roman"/>
          <w:lang w:val="en-GB"/>
        </w:rPr>
        <w:t>Regulation and Supervision of Islamic Banks</w:t>
      </w:r>
      <w:r w:rsidR="00C3037B">
        <w:rPr>
          <w:rFonts w:ascii="Times New Roman" w:hAnsi="Times New Roman"/>
          <w:lang w:val="en-GB"/>
        </w:rPr>
        <w:t>”</w:t>
      </w:r>
      <w:r w:rsidRPr="00C3037B">
        <w:rPr>
          <w:rFonts w:ascii="Times New Roman" w:hAnsi="Times New Roman"/>
          <w:lang w:val="en-GB"/>
        </w:rPr>
        <w:t>, Working Paper No. 14/219</w:t>
      </w:r>
      <w:r w:rsidR="00C3037B">
        <w:rPr>
          <w:rFonts w:ascii="Times New Roman" w:hAnsi="Times New Roman"/>
          <w:lang w:val="en-GB"/>
        </w:rPr>
        <w:t>, IMF</w:t>
      </w:r>
      <w:r w:rsidRPr="00C3037B">
        <w:rPr>
          <w:rFonts w:ascii="Times New Roman" w:hAnsi="Times New Roman"/>
          <w:lang w:val="en-GB"/>
        </w:rPr>
        <w:t>.</w:t>
      </w:r>
    </w:p>
    <w:p w:rsidR="0061646B" w:rsidRPr="00C3037B" w:rsidRDefault="0061646B" w:rsidP="0061646B">
      <w:pPr>
        <w:spacing w:line="288" w:lineRule="auto"/>
        <w:rPr>
          <w:rFonts w:ascii="Times New Roman" w:hAnsi="Times New Roman"/>
          <w:lang w:val="en-GB"/>
        </w:rPr>
      </w:pPr>
    </w:p>
    <w:p w:rsidR="0061646B" w:rsidRPr="00D35F2A" w:rsidRDefault="0061646B" w:rsidP="0061646B">
      <w:pPr>
        <w:spacing w:line="288" w:lineRule="auto"/>
        <w:rPr>
          <w:rFonts w:ascii="Times New Roman" w:hAnsi="Times New Roman"/>
          <w:lang w:val="en-GB"/>
        </w:rPr>
      </w:pPr>
      <w:r w:rsidRPr="00C8689D">
        <w:rPr>
          <w:rFonts w:ascii="Times New Roman" w:hAnsi="Times New Roman"/>
          <w:lang w:val="en-GB"/>
        </w:rPr>
        <w:t>McMillen, M</w:t>
      </w:r>
      <w:r w:rsidR="00C3037B">
        <w:rPr>
          <w:rFonts w:ascii="Times New Roman" w:hAnsi="Times New Roman"/>
          <w:lang w:val="en-GB"/>
        </w:rPr>
        <w:t>.</w:t>
      </w:r>
      <w:r w:rsidRPr="00C8689D">
        <w:rPr>
          <w:rFonts w:ascii="Times New Roman" w:hAnsi="Times New Roman"/>
          <w:lang w:val="en-GB"/>
        </w:rPr>
        <w:t xml:space="preserve">J.T. </w:t>
      </w:r>
      <w:r w:rsidR="00C3037B">
        <w:rPr>
          <w:rFonts w:ascii="Times New Roman" w:hAnsi="Times New Roman"/>
          <w:lang w:val="en-GB"/>
        </w:rPr>
        <w:t>(</w:t>
      </w:r>
      <w:r w:rsidRPr="00C8689D">
        <w:rPr>
          <w:rFonts w:ascii="Times New Roman" w:hAnsi="Times New Roman"/>
          <w:lang w:val="en-GB"/>
        </w:rPr>
        <w:t>2015</w:t>
      </w:r>
      <w:r w:rsidR="00C3037B">
        <w:rPr>
          <w:rFonts w:ascii="Times New Roman" w:hAnsi="Times New Roman"/>
          <w:lang w:val="en-GB"/>
        </w:rPr>
        <w:t>)</w:t>
      </w:r>
      <w:r w:rsidRPr="00C8689D">
        <w:rPr>
          <w:rFonts w:ascii="Times New Roman" w:hAnsi="Times New Roman"/>
          <w:lang w:val="en-GB"/>
        </w:rPr>
        <w:t xml:space="preserve">, </w:t>
      </w:r>
      <w:r w:rsidR="00C3037B">
        <w:rPr>
          <w:rFonts w:ascii="Times New Roman" w:hAnsi="Times New Roman"/>
          <w:lang w:val="en-GB"/>
        </w:rPr>
        <w:t>“</w:t>
      </w:r>
      <w:r w:rsidRPr="00C8689D">
        <w:rPr>
          <w:rFonts w:ascii="Times New Roman" w:hAnsi="Times New Roman"/>
          <w:lang w:val="en-GB"/>
        </w:rPr>
        <w:t>The Arcapita Group Bankruptcy:</w:t>
      </w:r>
      <w:r>
        <w:rPr>
          <w:rFonts w:ascii="Times New Roman" w:hAnsi="Times New Roman"/>
          <w:lang w:val="en-GB"/>
        </w:rPr>
        <w:t xml:space="preserve"> </w:t>
      </w:r>
      <w:r w:rsidRPr="00D35F2A">
        <w:rPr>
          <w:rFonts w:ascii="Times New Roman" w:hAnsi="Times New Roman"/>
          <w:lang w:val="en-GB"/>
        </w:rPr>
        <w:t xml:space="preserve">A Restructuring Case Study’, </w:t>
      </w:r>
      <w:r>
        <w:rPr>
          <w:rFonts w:ascii="Times New Roman" w:hAnsi="Times New Roman"/>
          <w:lang w:val="en-GB"/>
        </w:rPr>
        <w:t xml:space="preserve">in </w:t>
      </w:r>
      <w:r>
        <w:rPr>
          <w:rFonts w:ascii="Times New Roman" w:hAnsi="Times New Roman"/>
          <w:i/>
          <w:lang w:val="en-GB"/>
        </w:rPr>
        <w:t>Islamic Commercial Law Report 2016</w:t>
      </w:r>
      <w:r w:rsidR="00C3037B">
        <w:rPr>
          <w:rFonts w:ascii="Times New Roman" w:hAnsi="Times New Roman"/>
          <w:lang w:val="en-GB"/>
        </w:rPr>
        <w:t>”,</w:t>
      </w:r>
      <w:r>
        <w:rPr>
          <w:rFonts w:ascii="Times New Roman" w:hAnsi="Times New Roman"/>
          <w:lang w:val="en-GB"/>
        </w:rPr>
        <w:t xml:space="preserve"> International Shari’ah Research Academy for Islamic Finance</w:t>
      </w:r>
      <w:r w:rsidR="00C3037B">
        <w:rPr>
          <w:rFonts w:ascii="Times New Roman" w:hAnsi="Times New Roman"/>
          <w:lang w:val="en-GB"/>
        </w:rPr>
        <w:t xml:space="preserve"> (ISRA</w:t>
      </w:r>
      <w:r>
        <w:rPr>
          <w:rFonts w:ascii="Times New Roman" w:hAnsi="Times New Roman"/>
          <w:lang w:val="en-GB"/>
        </w:rPr>
        <w:t>), Kuala Lumpur, and Thomson Reuters,</w:t>
      </w:r>
      <w:r w:rsidR="00C3037B">
        <w:rPr>
          <w:rFonts w:ascii="Times New Roman" w:hAnsi="Times New Roman"/>
          <w:lang w:val="en-GB"/>
        </w:rPr>
        <w:t xml:space="preserve"> </w:t>
      </w:r>
      <w:r>
        <w:rPr>
          <w:rFonts w:ascii="Times New Roman" w:hAnsi="Times New Roman"/>
          <w:lang w:val="en-GB"/>
        </w:rPr>
        <w:t xml:space="preserve"> </w:t>
      </w:r>
      <w:r w:rsidR="00C3037B">
        <w:rPr>
          <w:rFonts w:ascii="Times New Roman" w:hAnsi="Times New Roman"/>
          <w:lang w:val="en-GB"/>
        </w:rPr>
        <w:t>pp. 136-142, available on: http://</w:t>
      </w:r>
      <w:r w:rsidRPr="00977C6E">
        <w:rPr>
          <w:rFonts w:ascii="Times New Roman" w:hAnsi="Times New Roman"/>
          <w:lang w:val="en-GB"/>
        </w:rPr>
        <w:t>www.salaamgateway.com</w:t>
      </w:r>
      <w:r>
        <w:rPr>
          <w:rFonts w:ascii="Times New Roman" w:hAnsi="Times New Roman"/>
          <w:lang w:val="en-GB"/>
        </w:rPr>
        <w:t>.</w:t>
      </w:r>
    </w:p>
    <w:p w:rsidR="00887F30" w:rsidRPr="00CF1203" w:rsidRDefault="00887F30" w:rsidP="00887F30">
      <w:pPr>
        <w:spacing w:line="288" w:lineRule="auto"/>
        <w:rPr>
          <w:rFonts w:ascii="Times New Roman" w:hAnsi="Times New Roman"/>
          <w:lang w:val="en-GB"/>
        </w:rPr>
      </w:pPr>
    </w:p>
    <w:p w:rsidR="00887F30" w:rsidRPr="0007605A" w:rsidRDefault="00887F30" w:rsidP="00887F30">
      <w:pPr>
        <w:spacing w:line="288" w:lineRule="auto"/>
        <w:rPr>
          <w:rFonts w:ascii="Times New Roman" w:hAnsi="Times New Roman"/>
          <w:lang w:val="en-GB"/>
        </w:rPr>
      </w:pPr>
      <w:r w:rsidRPr="0007605A">
        <w:rPr>
          <w:rFonts w:ascii="Times New Roman" w:hAnsi="Times New Roman"/>
          <w:lang w:val="en-GB"/>
        </w:rPr>
        <w:t>Mohammad, F</w:t>
      </w:r>
      <w:r w:rsidR="00C3037B">
        <w:rPr>
          <w:rFonts w:ascii="Times New Roman" w:hAnsi="Times New Roman"/>
          <w:lang w:val="en-GB"/>
        </w:rPr>
        <w:t>.</w:t>
      </w:r>
      <w:r w:rsidRPr="0007605A">
        <w:rPr>
          <w:rFonts w:ascii="Times New Roman" w:hAnsi="Times New Roman"/>
          <w:lang w:val="en-GB"/>
        </w:rPr>
        <w:t xml:space="preserve"> </w:t>
      </w:r>
      <w:r w:rsidR="00C3037B">
        <w:rPr>
          <w:rFonts w:ascii="Times New Roman" w:hAnsi="Times New Roman"/>
          <w:lang w:val="en-GB"/>
        </w:rPr>
        <w:t>(</w:t>
      </w:r>
      <w:r w:rsidRPr="0007605A">
        <w:rPr>
          <w:rFonts w:ascii="Times New Roman" w:hAnsi="Times New Roman"/>
          <w:lang w:val="en-GB"/>
        </w:rPr>
        <w:t>2015</w:t>
      </w:r>
      <w:r w:rsidR="00C3037B">
        <w:rPr>
          <w:rFonts w:ascii="Times New Roman" w:hAnsi="Times New Roman"/>
          <w:lang w:val="en-GB"/>
        </w:rPr>
        <w:t>)</w:t>
      </w:r>
      <w:r w:rsidRPr="0007605A">
        <w:rPr>
          <w:rFonts w:ascii="Times New Roman" w:hAnsi="Times New Roman"/>
          <w:lang w:val="en-GB"/>
        </w:rPr>
        <w:t>, ‘The Adjudication of Islamic Finance Cases: The UK Experience</w:t>
      </w:r>
      <w:r>
        <w:rPr>
          <w:rFonts w:ascii="Times New Roman" w:hAnsi="Times New Roman"/>
          <w:lang w:val="en-GB"/>
        </w:rPr>
        <w:t xml:space="preserve">’, in </w:t>
      </w:r>
      <w:r>
        <w:rPr>
          <w:rFonts w:ascii="Times New Roman" w:hAnsi="Times New Roman"/>
          <w:i/>
          <w:lang w:val="en-GB"/>
        </w:rPr>
        <w:t>Islamic Commercial Law Report 2016</w:t>
      </w:r>
      <w:r>
        <w:rPr>
          <w:rFonts w:ascii="Times New Roman" w:hAnsi="Times New Roman"/>
          <w:lang w:val="en-GB"/>
        </w:rPr>
        <w:t>, International Shari’ah Research Academy for Islamic Finance</w:t>
      </w:r>
      <w:r w:rsidR="00C3037B">
        <w:rPr>
          <w:rFonts w:ascii="Times New Roman" w:hAnsi="Times New Roman"/>
          <w:lang w:val="en-GB"/>
        </w:rPr>
        <w:t xml:space="preserve"> (ISRA</w:t>
      </w:r>
      <w:r>
        <w:rPr>
          <w:rFonts w:ascii="Times New Roman" w:hAnsi="Times New Roman"/>
          <w:lang w:val="en-GB"/>
        </w:rPr>
        <w:t xml:space="preserve">), Kuala Lumpur, and Thomson Reuters, </w:t>
      </w:r>
      <w:r w:rsidR="00DF7A1B">
        <w:rPr>
          <w:rFonts w:ascii="Times New Roman" w:hAnsi="Times New Roman"/>
          <w:lang w:val="en-GB"/>
        </w:rPr>
        <w:t xml:space="preserve">pp. 130-132, </w:t>
      </w:r>
      <w:r w:rsidR="00C3037B">
        <w:rPr>
          <w:rFonts w:ascii="Times New Roman" w:hAnsi="Times New Roman"/>
          <w:lang w:val="en-GB"/>
        </w:rPr>
        <w:t>available on: http://</w:t>
      </w:r>
      <w:r w:rsidRPr="00977C6E">
        <w:rPr>
          <w:rFonts w:ascii="Times New Roman" w:hAnsi="Times New Roman"/>
          <w:lang w:val="en-GB"/>
        </w:rPr>
        <w:t>www.salaamgateway.com</w:t>
      </w:r>
      <w:r>
        <w:rPr>
          <w:rFonts w:ascii="Times New Roman" w:hAnsi="Times New Roman"/>
          <w:lang w:val="en-GB"/>
        </w:rPr>
        <w:t>.</w:t>
      </w:r>
    </w:p>
    <w:p w:rsidR="0061646B" w:rsidRPr="0007605A" w:rsidRDefault="0061646B" w:rsidP="0061646B">
      <w:pPr>
        <w:spacing w:line="288" w:lineRule="auto"/>
        <w:rPr>
          <w:rFonts w:ascii="Times New Roman" w:hAnsi="Times New Roman"/>
          <w:lang w:val="en-GB"/>
        </w:rPr>
      </w:pPr>
    </w:p>
    <w:p w:rsidR="0061646B" w:rsidRPr="00BE6B8D" w:rsidRDefault="00DF7A1B" w:rsidP="0061646B">
      <w:pPr>
        <w:spacing w:line="288" w:lineRule="auto"/>
        <w:rPr>
          <w:rFonts w:ascii="Times New Roman" w:hAnsi="Times New Roman"/>
          <w:noProof w:val="0"/>
          <w:lang w:val="en-GB"/>
        </w:rPr>
      </w:pPr>
      <w:r>
        <w:rPr>
          <w:rFonts w:ascii="Times New Roman" w:hAnsi="Times New Roman"/>
          <w:noProof w:val="0"/>
          <w:lang w:val="en-GB"/>
        </w:rPr>
        <w:t>Muller, N.</w:t>
      </w:r>
      <w:r w:rsidR="0061646B" w:rsidRPr="00BE6B8D">
        <w:rPr>
          <w:rFonts w:ascii="Times New Roman" w:hAnsi="Times New Roman"/>
          <w:noProof w:val="0"/>
          <w:lang w:val="en-GB"/>
        </w:rPr>
        <w:t xml:space="preserve"> </w:t>
      </w:r>
      <w:r>
        <w:rPr>
          <w:rFonts w:ascii="Times New Roman" w:hAnsi="Times New Roman"/>
          <w:noProof w:val="0"/>
          <w:lang w:val="en-GB"/>
        </w:rPr>
        <w:t>(</w:t>
      </w:r>
      <w:r w:rsidR="0061646B" w:rsidRPr="00BE6B8D">
        <w:rPr>
          <w:rFonts w:ascii="Times New Roman" w:hAnsi="Times New Roman"/>
          <w:noProof w:val="0"/>
          <w:lang w:val="en-GB"/>
        </w:rPr>
        <w:t>2010</w:t>
      </w:r>
      <w:r>
        <w:rPr>
          <w:rFonts w:ascii="Times New Roman" w:hAnsi="Times New Roman"/>
          <w:noProof w:val="0"/>
          <w:lang w:val="en-GB"/>
        </w:rPr>
        <w:t>)</w:t>
      </w:r>
      <w:r w:rsidR="0061646B" w:rsidRPr="00BE6B8D">
        <w:rPr>
          <w:rFonts w:ascii="Times New Roman" w:hAnsi="Times New Roman"/>
          <w:noProof w:val="0"/>
          <w:lang w:val="en-GB"/>
        </w:rPr>
        <w:t xml:space="preserve">, </w:t>
      </w:r>
      <w:r>
        <w:rPr>
          <w:rFonts w:ascii="Times New Roman" w:hAnsi="Times New Roman"/>
          <w:noProof w:val="0"/>
          <w:lang w:val="en-GB"/>
        </w:rPr>
        <w:t>“</w:t>
      </w:r>
      <w:r w:rsidR="0061646B" w:rsidRPr="00BE6B8D">
        <w:rPr>
          <w:rFonts w:ascii="Times New Roman" w:hAnsi="Times New Roman"/>
          <w:noProof w:val="0"/>
          <w:lang w:val="en-GB"/>
        </w:rPr>
        <w:t>Islamic Finance and Taxation: A Level Playing Field</w:t>
      </w:r>
      <w:r>
        <w:rPr>
          <w:rFonts w:ascii="Times New Roman" w:hAnsi="Times New Roman"/>
          <w:noProof w:val="0"/>
          <w:lang w:val="en-GB"/>
        </w:rPr>
        <w:t xml:space="preserve"> in Sight?”</w:t>
      </w:r>
      <w:r w:rsidR="0061646B">
        <w:rPr>
          <w:rFonts w:ascii="Times New Roman" w:hAnsi="Times New Roman"/>
          <w:noProof w:val="0"/>
          <w:lang w:val="en-GB"/>
        </w:rPr>
        <w:t xml:space="preserve">, in </w:t>
      </w:r>
      <w:r w:rsidR="0061646B">
        <w:rPr>
          <w:rFonts w:ascii="Times New Roman" w:hAnsi="Times New Roman"/>
          <w:i/>
          <w:noProof w:val="0"/>
          <w:lang w:val="en-GB"/>
        </w:rPr>
        <w:t>Derivatives &amp; Financial Instruments</w:t>
      </w:r>
      <w:r w:rsidR="0061646B">
        <w:rPr>
          <w:rFonts w:ascii="Times New Roman" w:hAnsi="Times New Roman"/>
          <w:noProof w:val="0"/>
          <w:lang w:val="en-GB"/>
        </w:rPr>
        <w:t>, Volume 12, International Bureau of Fiscal Documentation</w:t>
      </w:r>
      <w:r>
        <w:rPr>
          <w:rFonts w:ascii="Times New Roman" w:hAnsi="Times New Roman"/>
          <w:noProof w:val="0"/>
          <w:lang w:val="en-GB"/>
        </w:rPr>
        <w:t xml:space="preserve"> (IBFD</w:t>
      </w:r>
      <w:r w:rsidR="0061646B">
        <w:rPr>
          <w:rFonts w:ascii="Times New Roman" w:hAnsi="Times New Roman"/>
          <w:noProof w:val="0"/>
          <w:lang w:val="en-GB"/>
        </w:rPr>
        <w:t xml:space="preserve">), Amsterdam, </w:t>
      </w:r>
      <w:r>
        <w:rPr>
          <w:rFonts w:ascii="Times New Roman" w:hAnsi="Times New Roman"/>
          <w:noProof w:val="0"/>
          <w:lang w:val="en-GB"/>
        </w:rPr>
        <w:t xml:space="preserve">pp. </w:t>
      </w:r>
      <w:r w:rsidR="0061646B">
        <w:rPr>
          <w:rFonts w:ascii="Times New Roman" w:hAnsi="Times New Roman"/>
          <w:noProof w:val="0"/>
          <w:lang w:val="en-GB"/>
        </w:rPr>
        <w:t>7-9.</w:t>
      </w:r>
    </w:p>
    <w:p w:rsidR="001A181E" w:rsidRDefault="001A181E" w:rsidP="001A181E">
      <w:pPr>
        <w:spacing w:line="288" w:lineRule="auto"/>
        <w:rPr>
          <w:rFonts w:ascii="Times New Roman" w:eastAsia="TimesNRMTPro" w:hAnsi="Times New Roman"/>
          <w:szCs w:val="24"/>
          <w:lang w:val="en-GB"/>
        </w:rPr>
      </w:pPr>
    </w:p>
    <w:p w:rsidR="001A181E" w:rsidRPr="003E4F31" w:rsidRDefault="001A181E" w:rsidP="001A181E">
      <w:pPr>
        <w:spacing w:line="288" w:lineRule="auto"/>
        <w:rPr>
          <w:rFonts w:ascii="Times New Roman" w:hAnsi="Times New Roman"/>
          <w:lang w:val="en-GB"/>
        </w:rPr>
      </w:pPr>
      <w:r w:rsidRPr="00937209">
        <w:rPr>
          <w:rFonts w:ascii="Times New Roman" w:hAnsi="Times New Roman"/>
          <w:noProof w:val="0"/>
          <w:lang w:val="en-US"/>
        </w:rPr>
        <w:t>Song</w:t>
      </w:r>
      <w:r w:rsidR="003E6627">
        <w:rPr>
          <w:rFonts w:ascii="Times New Roman" w:hAnsi="Times New Roman"/>
          <w:lang w:val="en-GB"/>
        </w:rPr>
        <w:t>, I.</w:t>
      </w:r>
      <w:r w:rsidRPr="008D7DA0">
        <w:rPr>
          <w:rFonts w:ascii="Times New Roman" w:hAnsi="Times New Roman"/>
          <w:lang w:val="en-GB"/>
        </w:rPr>
        <w:t xml:space="preserve"> and Oosthuizen,</w:t>
      </w:r>
      <w:r w:rsidRPr="00937209">
        <w:rPr>
          <w:rFonts w:ascii="Times New Roman" w:hAnsi="Times New Roman"/>
          <w:noProof w:val="0"/>
          <w:lang w:val="en-US"/>
        </w:rPr>
        <w:t xml:space="preserve"> </w:t>
      </w:r>
      <w:r w:rsidR="003E6627">
        <w:rPr>
          <w:rFonts w:ascii="Times New Roman" w:hAnsi="Times New Roman"/>
          <w:noProof w:val="0"/>
          <w:lang w:val="en-US"/>
        </w:rPr>
        <w:t>C. (</w:t>
      </w:r>
      <w:r w:rsidRPr="00937209">
        <w:rPr>
          <w:rFonts w:ascii="Times New Roman" w:hAnsi="Times New Roman"/>
          <w:noProof w:val="0"/>
          <w:lang w:val="en-US"/>
        </w:rPr>
        <w:t>2014</w:t>
      </w:r>
      <w:r w:rsidR="003E6627">
        <w:rPr>
          <w:rFonts w:ascii="Times New Roman" w:hAnsi="Times New Roman"/>
          <w:noProof w:val="0"/>
          <w:lang w:val="en-US"/>
        </w:rPr>
        <w:t>)</w:t>
      </w:r>
      <w:r w:rsidRPr="00937209">
        <w:rPr>
          <w:rFonts w:ascii="Times New Roman" w:hAnsi="Times New Roman"/>
          <w:noProof w:val="0"/>
          <w:lang w:val="en-US"/>
        </w:rPr>
        <w:t xml:space="preserve">, </w:t>
      </w:r>
      <w:r w:rsidR="003E6627">
        <w:rPr>
          <w:rFonts w:ascii="Times New Roman" w:hAnsi="Times New Roman"/>
          <w:noProof w:val="0"/>
          <w:lang w:val="en-US"/>
        </w:rPr>
        <w:t>“</w:t>
      </w:r>
      <w:r w:rsidRPr="00937209">
        <w:rPr>
          <w:rFonts w:ascii="Times New Roman" w:hAnsi="Times New Roman"/>
          <w:noProof w:val="0"/>
          <w:lang w:val="en-US"/>
        </w:rPr>
        <w:t>Islamic Banking Regulation and Supervision: Survey Results and Challenges</w:t>
      </w:r>
      <w:r w:rsidR="003E6627">
        <w:rPr>
          <w:rFonts w:ascii="Times New Roman" w:hAnsi="Times New Roman"/>
          <w:noProof w:val="0"/>
          <w:lang w:val="en-US"/>
        </w:rPr>
        <w:t>”</w:t>
      </w:r>
      <w:r w:rsidRPr="00937209">
        <w:rPr>
          <w:rFonts w:ascii="Times New Roman" w:hAnsi="Times New Roman"/>
          <w:noProof w:val="0"/>
          <w:lang w:val="en-US"/>
        </w:rPr>
        <w:t>, Working Paper No. 14/220</w:t>
      </w:r>
      <w:r w:rsidR="003E6627">
        <w:rPr>
          <w:rFonts w:ascii="Times New Roman" w:hAnsi="Times New Roman"/>
          <w:noProof w:val="0"/>
          <w:lang w:val="en-US"/>
        </w:rPr>
        <w:t>, IMF</w:t>
      </w:r>
      <w:r>
        <w:rPr>
          <w:rFonts w:ascii="Times New Roman" w:hAnsi="Times New Roman"/>
          <w:noProof w:val="0"/>
          <w:lang w:val="en-US"/>
        </w:rPr>
        <w:t>.</w:t>
      </w:r>
    </w:p>
    <w:p w:rsidR="003E6627" w:rsidRPr="003E4F31" w:rsidRDefault="003E6627" w:rsidP="003E6627">
      <w:pPr>
        <w:spacing w:line="288" w:lineRule="auto"/>
        <w:rPr>
          <w:rFonts w:ascii="Times New Roman" w:eastAsia="TimesNRMTPro" w:hAnsi="Times New Roman"/>
          <w:szCs w:val="24"/>
          <w:lang w:val="en-GB"/>
        </w:rPr>
      </w:pPr>
    </w:p>
    <w:p w:rsidR="005838EC" w:rsidRPr="005838EC" w:rsidRDefault="005838EC" w:rsidP="005838EC">
      <w:pPr>
        <w:widowControl w:val="0"/>
        <w:spacing w:line="288" w:lineRule="auto"/>
        <w:rPr>
          <w:rFonts w:ascii="Times New Roman" w:hAnsi="Times New Roman"/>
          <w:b/>
          <w:lang w:val="en-GB"/>
        </w:rPr>
      </w:pPr>
      <w:r w:rsidRPr="005838EC">
        <w:rPr>
          <w:rFonts w:ascii="Times New Roman" w:hAnsi="Times New Roman"/>
          <w:lang w:val="en-GB"/>
        </w:rPr>
        <w:t>Sairally</w:t>
      </w:r>
      <w:r w:rsidR="00191003">
        <w:rPr>
          <w:rFonts w:ascii="Times New Roman" w:hAnsi="Times New Roman"/>
          <w:lang w:val="en-GB"/>
        </w:rPr>
        <w:t xml:space="preserve">, </w:t>
      </w:r>
      <w:r w:rsidRPr="005838EC">
        <w:rPr>
          <w:rFonts w:ascii="Times New Roman" w:hAnsi="Times New Roman"/>
          <w:lang w:val="en-GB"/>
        </w:rPr>
        <w:t xml:space="preserve"> </w:t>
      </w:r>
      <w:r w:rsidR="00191003" w:rsidRPr="00DF523B">
        <w:rPr>
          <w:rFonts w:ascii="Times New Roman" w:hAnsi="Times New Roman"/>
          <w:lang w:val="en-US"/>
        </w:rPr>
        <w:t>Beebee Salma</w:t>
      </w:r>
      <w:r w:rsidR="00191003" w:rsidRPr="005838EC">
        <w:rPr>
          <w:rFonts w:ascii="Times New Roman" w:hAnsi="Times New Roman"/>
          <w:lang w:val="en-GB"/>
        </w:rPr>
        <w:t xml:space="preserve"> </w:t>
      </w:r>
      <w:r w:rsidR="00191003">
        <w:rPr>
          <w:rFonts w:ascii="Times New Roman" w:hAnsi="Times New Roman"/>
          <w:lang w:val="en-GB"/>
        </w:rPr>
        <w:t xml:space="preserve">, </w:t>
      </w:r>
      <w:r w:rsidR="00191003" w:rsidRPr="00DF523B">
        <w:rPr>
          <w:rFonts w:ascii="Times New Roman" w:hAnsi="Times New Roman"/>
          <w:lang w:val="en-US"/>
        </w:rPr>
        <w:t>Marjan Muhammad and Madaa Munjid Mustaf</w:t>
      </w:r>
      <w:r w:rsidRPr="003E4F31">
        <w:rPr>
          <w:rFonts w:ascii="Times New Roman" w:hAnsi="Times New Roman"/>
          <w:lang w:val="en-GB"/>
        </w:rPr>
        <w:t xml:space="preserve">. (2016), </w:t>
      </w:r>
      <w:r w:rsidR="003E4F31">
        <w:rPr>
          <w:rFonts w:ascii="Times New Roman" w:hAnsi="Times New Roman"/>
          <w:lang w:val="en-GB"/>
        </w:rPr>
        <w:t>“</w:t>
      </w:r>
      <w:r w:rsidRPr="005838EC">
        <w:rPr>
          <w:rFonts w:ascii="Times New Roman" w:hAnsi="Times New Roman"/>
          <w:lang w:val="en-GB"/>
        </w:rPr>
        <w:t>Additional Tier 1 Capital Instruments under Basel III: A Sharīʿah Viewpoint</w:t>
      </w:r>
      <w:r w:rsidR="003E4F31" w:rsidRPr="003E4F31">
        <w:rPr>
          <w:rFonts w:ascii="Times New Roman" w:hAnsi="Times New Roman"/>
          <w:lang w:val="en-GB"/>
        </w:rPr>
        <w:t>”</w:t>
      </w:r>
      <w:r w:rsidRPr="005838EC">
        <w:rPr>
          <w:rFonts w:ascii="Times New Roman" w:hAnsi="Times New Roman"/>
          <w:lang w:val="en-GB"/>
        </w:rPr>
        <w:t xml:space="preserve">, </w:t>
      </w:r>
      <w:r w:rsidRPr="005838EC">
        <w:rPr>
          <w:rFonts w:ascii="Times New Roman" w:hAnsi="Times New Roman"/>
          <w:i/>
          <w:lang w:val="en-GB"/>
        </w:rPr>
        <w:t>Arab Law Quarterly</w:t>
      </w:r>
      <w:r w:rsidR="003E4F31" w:rsidRPr="003E4F31">
        <w:rPr>
          <w:rFonts w:ascii="Times New Roman" w:hAnsi="Times New Roman"/>
          <w:lang w:val="en-GB"/>
        </w:rPr>
        <w:t>,</w:t>
      </w:r>
      <w:r w:rsidRPr="005838EC">
        <w:rPr>
          <w:rFonts w:ascii="Times New Roman" w:hAnsi="Times New Roman"/>
          <w:i/>
          <w:lang w:val="en-GB"/>
        </w:rPr>
        <w:t xml:space="preserve"> </w:t>
      </w:r>
      <w:r w:rsidRPr="005838EC">
        <w:rPr>
          <w:rFonts w:ascii="Times New Roman" w:hAnsi="Times New Roman"/>
          <w:lang w:val="en-GB"/>
        </w:rPr>
        <w:t>Volume 30</w:t>
      </w:r>
      <w:r w:rsidR="003E4F31" w:rsidRPr="003E4F31">
        <w:rPr>
          <w:rFonts w:ascii="Times New Roman" w:hAnsi="Times New Roman"/>
          <w:lang w:val="en-GB"/>
        </w:rPr>
        <w:t xml:space="preserve"> Issue 2, pp. 138-162.</w:t>
      </w:r>
    </w:p>
    <w:p w:rsidR="005838EC" w:rsidRPr="003E4F31" w:rsidRDefault="005838EC" w:rsidP="003E6627">
      <w:pPr>
        <w:spacing w:line="288" w:lineRule="auto"/>
        <w:rPr>
          <w:rFonts w:ascii="Times New Roman" w:eastAsia="TimesNRMTPro" w:hAnsi="Times New Roman"/>
          <w:szCs w:val="24"/>
          <w:lang w:val="en-GB"/>
        </w:rPr>
      </w:pPr>
    </w:p>
    <w:p w:rsidR="003E6627" w:rsidRDefault="003E6627" w:rsidP="003E6627">
      <w:pPr>
        <w:spacing w:line="288" w:lineRule="auto"/>
        <w:rPr>
          <w:rFonts w:ascii="Times New Roman" w:eastAsia="TimesNRMTPro" w:hAnsi="Times New Roman"/>
          <w:szCs w:val="24"/>
          <w:lang w:val="en-GB"/>
        </w:rPr>
      </w:pPr>
      <w:r w:rsidRPr="00866813">
        <w:rPr>
          <w:rFonts w:ascii="Times New Roman" w:eastAsia="TimesNRMTPro" w:hAnsi="Times New Roman"/>
          <w:i/>
          <w:szCs w:val="24"/>
          <w:lang w:val="en-GB"/>
        </w:rPr>
        <w:t>The Banker</w:t>
      </w:r>
      <w:r>
        <w:rPr>
          <w:rFonts w:ascii="Times New Roman" w:eastAsia="TimesNRMTPro" w:hAnsi="Times New Roman"/>
          <w:szCs w:val="24"/>
          <w:lang w:val="en-GB"/>
        </w:rPr>
        <w:t xml:space="preserve"> (2014), “</w:t>
      </w:r>
      <w:r w:rsidRPr="00A6108A">
        <w:rPr>
          <w:rFonts w:ascii="Times New Roman" w:eastAsia="TimesNRMTPro" w:hAnsi="Times New Roman"/>
          <w:szCs w:val="24"/>
          <w:lang w:val="en-GB"/>
        </w:rPr>
        <w:t>Roundtable - The Basel III challenge</w:t>
      </w:r>
      <w:r>
        <w:rPr>
          <w:rFonts w:ascii="Times New Roman" w:eastAsia="TimesNRMTPro" w:hAnsi="Times New Roman"/>
          <w:szCs w:val="24"/>
          <w:lang w:val="en-GB"/>
        </w:rPr>
        <w:t>”, November.</w:t>
      </w:r>
    </w:p>
    <w:p w:rsidR="00866813" w:rsidRPr="003E6627" w:rsidRDefault="00866813" w:rsidP="0061646B">
      <w:pPr>
        <w:spacing w:line="288" w:lineRule="auto"/>
        <w:rPr>
          <w:rFonts w:ascii="Times New Roman" w:eastAsia="TimesNRMTPro" w:hAnsi="Times New Roman"/>
          <w:szCs w:val="24"/>
          <w:lang w:val="en-GB"/>
        </w:rPr>
      </w:pPr>
    </w:p>
    <w:p w:rsidR="0061646B" w:rsidRDefault="003E6627" w:rsidP="0061646B">
      <w:pPr>
        <w:spacing w:line="288" w:lineRule="auto"/>
        <w:rPr>
          <w:rFonts w:ascii="Times New Roman" w:eastAsia="TimesNRMTPro" w:hAnsi="Times New Roman"/>
          <w:szCs w:val="24"/>
          <w:lang w:val="en-GB"/>
        </w:rPr>
      </w:pPr>
      <w:r>
        <w:rPr>
          <w:rFonts w:ascii="Times New Roman" w:eastAsia="TimesNRMTPro" w:hAnsi="Times New Roman"/>
          <w:szCs w:val="24"/>
          <w:lang w:val="en-GB"/>
        </w:rPr>
        <w:t>Thomas, A.</w:t>
      </w:r>
      <w:r w:rsidR="0061646B">
        <w:rPr>
          <w:rFonts w:ascii="Times New Roman" w:eastAsia="TimesNRMTPro" w:hAnsi="Times New Roman"/>
          <w:szCs w:val="24"/>
          <w:lang w:val="en-GB"/>
        </w:rPr>
        <w:t xml:space="preserve"> </w:t>
      </w:r>
      <w:r>
        <w:rPr>
          <w:rFonts w:ascii="Times New Roman" w:eastAsia="TimesNRMTPro" w:hAnsi="Times New Roman"/>
          <w:szCs w:val="24"/>
          <w:lang w:val="en-GB"/>
        </w:rPr>
        <w:t>(</w:t>
      </w:r>
      <w:r w:rsidR="0061646B">
        <w:rPr>
          <w:rFonts w:ascii="Times New Roman" w:eastAsia="TimesNRMTPro" w:hAnsi="Times New Roman"/>
          <w:szCs w:val="24"/>
          <w:lang w:val="en-GB"/>
        </w:rPr>
        <w:t>2001</w:t>
      </w:r>
      <w:r>
        <w:rPr>
          <w:rFonts w:ascii="Times New Roman" w:eastAsia="TimesNRMTPro" w:hAnsi="Times New Roman"/>
          <w:szCs w:val="24"/>
          <w:lang w:val="en-GB"/>
        </w:rPr>
        <w:t>)</w:t>
      </w:r>
      <w:r w:rsidR="0061646B">
        <w:rPr>
          <w:rFonts w:ascii="Times New Roman" w:eastAsia="TimesNRMTPro" w:hAnsi="Times New Roman"/>
          <w:szCs w:val="24"/>
          <w:lang w:val="en-GB"/>
        </w:rPr>
        <w:t xml:space="preserve">, </w:t>
      </w:r>
      <w:r>
        <w:rPr>
          <w:rFonts w:ascii="Times New Roman" w:eastAsia="TimesNRMTPro" w:hAnsi="Times New Roman"/>
          <w:szCs w:val="24"/>
          <w:lang w:val="en-GB"/>
        </w:rPr>
        <w:t>“</w:t>
      </w:r>
      <w:r w:rsidR="0061646B">
        <w:rPr>
          <w:rFonts w:ascii="Times New Roman" w:eastAsia="TimesNRMTPro" w:hAnsi="Times New Roman"/>
          <w:szCs w:val="24"/>
          <w:lang w:val="en-GB"/>
        </w:rPr>
        <w:t>Methods of Islamic home finance in the United S</w:t>
      </w:r>
      <w:r>
        <w:rPr>
          <w:rFonts w:ascii="Times New Roman" w:eastAsia="TimesNRMTPro" w:hAnsi="Times New Roman"/>
          <w:szCs w:val="24"/>
          <w:lang w:val="en-GB"/>
        </w:rPr>
        <w:t>tates: beneficial breakthroughs”</w:t>
      </w:r>
      <w:r w:rsidR="0061646B">
        <w:rPr>
          <w:rFonts w:ascii="Times New Roman" w:eastAsia="TimesNRMTPro" w:hAnsi="Times New Roman"/>
          <w:szCs w:val="24"/>
          <w:lang w:val="en-GB"/>
        </w:rPr>
        <w:t>,</w:t>
      </w:r>
      <w:r>
        <w:rPr>
          <w:rFonts w:ascii="Times New Roman" w:eastAsia="TimesNRMTPro" w:hAnsi="Times New Roman"/>
          <w:szCs w:val="24"/>
          <w:lang w:val="en-GB"/>
        </w:rPr>
        <w:t xml:space="preserve"> available on: http://</w:t>
      </w:r>
      <w:r w:rsidR="0061646B">
        <w:rPr>
          <w:rFonts w:ascii="Times New Roman" w:eastAsia="TimesNRMTPro" w:hAnsi="Times New Roman"/>
          <w:szCs w:val="24"/>
          <w:lang w:val="en-GB"/>
        </w:rPr>
        <w:t>www.failaka.com.</w:t>
      </w:r>
    </w:p>
    <w:p w:rsidR="00DF7A1B" w:rsidRDefault="00DF7A1B" w:rsidP="00DF7A1B">
      <w:pPr>
        <w:spacing w:line="288" w:lineRule="auto"/>
        <w:rPr>
          <w:rFonts w:ascii="Times New Roman" w:eastAsia="TimesNRMTPro" w:hAnsi="Times New Roman"/>
          <w:bCs/>
          <w:szCs w:val="24"/>
          <w:lang w:val="en-GB"/>
        </w:rPr>
      </w:pPr>
    </w:p>
    <w:p w:rsidR="00DF7A1B" w:rsidRDefault="00DF7A1B" w:rsidP="00DF7A1B">
      <w:pPr>
        <w:spacing w:line="288" w:lineRule="auto"/>
        <w:rPr>
          <w:rFonts w:ascii="Times New Roman" w:eastAsia="TimesNRMTPro" w:hAnsi="Times New Roman"/>
          <w:bCs/>
          <w:szCs w:val="24"/>
          <w:lang w:val="en-GB"/>
        </w:rPr>
      </w:pPr>
      <w:r>
        <w:rPr>
          <w:rFonts w:ascii="Times New Roman" w:eastAsia="TimesNRMTPro" w:hAnsi="Times New Roman"/>
          <w:bCs/>
          <w:szCs w:val="24"/>
          <w:lang w:val="en-GB"/>
        </w:rPr>
        <w:t>UK Government (2015), “</w:t>
      </w:r>
      <w:r w:rsidRPr="00DF7A1B">
        <w:rPr>
          <w:rFonts w:ascii="Times New Roman" w:eastAsia="TimesNRMTPro" w:hAnsi="Times New Roman"/>
          <w:bCs/>
          <w:szCs w:val="24"/>
          <w:lang w:val="en-GB"/>
        </w:rPr>
        <w:t>Practice guide 69: Islamic financing,</w:t>
      </w:r>
      <w:r>
        <w:rPr>
          <w:rFonts w:ascii="Times New Roman" w:eastAsia="TimesNRMTPro" w:hAnsi="Times New Roman"/>
          <w:bCs/>
          <w:szCs w:val="24"/>
          <w:lang w:val="en-GB"/>
        </w:rPr>
        <w:t xml:space="preserve"> update”, available at: </w:t>
      </w:r>
      <w:r w:rsidRPr="00074A4A">
        <w:rPr>
          <w:rFonts w:ascii="Times New Roman" w:eastAsia="TimesNRMTPro" w:hAnsi="Times New Roman"/>
          <w:bCs/>
          <w:i/>
          <w:szCs w:val="24"/>
          <w:lang w:val="en-GB"/>
        </w:rPr>
        <w:t xml:space="preserve"> </w:t>
      </w:r>
      <w:r w:rsidR="00B512D0" w:rsidRPr="00B512D0">
        <w:rPr>
          <w:rFonts w:ascii="Times New Roman" w:eastAsia="TimesNRMTPro" w:hAnsi="Times New Roman"/>
          <w:bCs/>
          <w:szCs w:val="24"/>
          <w:lang w:val="en-GB"/>
        </w:rPr>
        <w:t>http://www.gov.uk/government/publications/islamic-financing/practice-guide-69-islamic-financing</w:t>
      </w:r>
      <w:r w:rsidR="00CA7900">
        <w:rPr>
          <w:rFonts w:ascii="Times New Roman" w:eastAsia="TimesNRMTPro" w:hAnsi="Times New Roman"/>
          <w:bCs/>
          <w:szCs w:val="24"/>
          <w:lang w:val="en-GB"/>
        </w:rPr>
        <w:t>.</w:t>
      </w:r>
    </w:p>
    <w:p w:rsidR="00B512D0" w:rsidRDefault="00B512D0" w:rsidP="00DF7A1B">
      <w:pPr>
        <w:spacing w:line="288" w:lineRule="auto"/>
        <w:rPr>
          <w:rFonts w:ascii="Times New Roman" w:eastAsia="TimesNRMTPro" w:hAnsi="Times New Roman"/>
          <w:bCs/>
          <w:szCs w:val="24"/>
          <w:lang w:val="en-GB"/>
        </w:rPr>
      </w:pPr>
    </w:p>
    <w:p w:rsidR="00B512D0" w:rsidRDefault="00B512D0" w:rsidP="00DF7A1B">
      <w:pPr>
        <w:spacing w:line="288" w:lineRule="auto"/>
        <w:rPr>
          <w:rFonts w:ascii="Times New Roman" w:eastAsia="TimesNRMTPro" w:hAnsi="Times New Roman"/>
          <w:bCs/>
          <w:szCs w:val="24"/>
          <w:lang w:val="en-GB"/>
        </w:rPr>
      </w:pPr>
      <w:r>
        <w:rPr>
          <w:rFonts w:ascii="Times New Roman" w:eastAsia="TimesNRMTPro" w:hAnsi="Times New Roman"/>
          <w:bCs/>
          <w:szCs w:val="24"/>
          <w:lang w:val="en-GB"/>
        </w:rPr>
        <w:t xml:space="preserve">Usmani. M.T. (1998), </w:t>
      </w:r>
      <w:r w:rsidRPr="00B512D0">
        <w:rPr>
          <w:rFonts w:ascii="Times New Roman" w:hAnsi="Times New Roman"/>
          <w:i/>
          <w:noProof w:val="0"/>
          <w:lang w:val="en-GB"/>
        </w:rPr>
        <w:t>An</w:t>
      </w:r>
      <w:r w:rsidRPr="00B512D0">
        <w:rPr>
          <w:rFonts w:ascii="Times New Roman" w:hAnsi="Times New Roman"/>
          <w:noProof w:val="0"/>
          <w:lang w:val="en-GB"/>
        </w:rPr>
        <w:t xml:space="preserve"> </w:t>
      </w:r>
      <w:r w:rsidRPr="00B512D0">
        <w:rPr>
          <w:rFonts w:ascii="Times New Roman" w:hAnsi="Times New Roman"/>
          <w:i/>
          <w:iCs/>
          <w:noProof w:val="0"/>
          <w:lang w:val="en-GB"/>
        </w:rPr>
        <w:t>Introduction to Islamic Finance</w:t>
      </w:r>
      <w:r w:rsidRPr="00B512D0">
        <w:rPr>
          <w:rFonts w:ascii="Times New Roman" w:hAnsi="Times New Roman"/>
          <w:iCs/>
          <w:noProof w:val="0"/>
          <w:lang w:val="en-GB"/>
        </w:rPr>
        <w:t xml:space="preserve">, </w:t>
      </w:r>
      <w:r>
        <w:rPr>
          <w:rFonts w:ascii="Times New Roman" w:hAnsi="Times New Roman"/>
          <w:iCs/>
          <w:noProof w:val="0"/>
          <w:lang w:val="en-GB"/>
        </w:rPr>
        <w:t xml:space="preserve">available on: </w:t>
      </w:r>
      <w:r w:rsidRPr="00B512D0">
        <w:rPr>
          <w:rFonts w:ascii="Times New Roman" w:hAnsi="Times New Roman"/>
          <w:iCs/>
          <w:noProof w:val="0"/>
          <w:lang w:val="en-GB"/>
        </w:rPr>
        <w:t xml:space="preserve"> http://attahawi.files.wordpress.com/2010/01/an-introduction-to-islamic-finance.pdf</w:t>
      </w:r>
      <w:r>
        <w:rPr>
          <w:rFonts w:ascii="Times New Roman" w:hAnsi="Times New Roman"/>
          <w:iCs/>
          <w:noProof w:val="0"/>
          <w:lang w:val="en-GB"/>
        </w:rPr>
        <w:t xml:space="preserve">. </w:t>
      </w:r>
      <w:r w:rsidRPr="00B512D0" w:rsidDel="005449BA">
        <w:rPr>
          <w:rFonts w:ascii="Times New Roman" w:hAnsi="Times New Roman"/>
          <w:iCs/>
          <w:noProof w:val="0"/>
          <w:lang w:val="en-GB"/>
        </w:rPr>
        <w:t xml:space="preserve"> </w:t>
      </w:r>
      <w:r w:rsidRPr="00B512D0">
        <w:rPr>
          <w:rFonts w:ascii="Times New Roman" w:hAnsi="Times New Roman"/>
          <w:iCs/>
          <w:noProof w:val="0"/>
          <w:lang w:val="en-GB"/>
        </w:rPr>
        <w:t xml:space="preserve"> </w:t>
      </w:r>
    </w:p>
    <w:p w:rsidR="00CA7900" w:rsidRDefault="00CA7900" w:rsidP="00DF7A1B">
      <w:pPr>
        <w:spacing w:line="288" w:lineRule="auto"/>
        <w:rPr>
          <w:rFonts w:ascii="Times New Roman" w:eastAsia="TimesNRMTPro" w:hAnsi="Times New Roman"/>
          <w:bCs/>
          <w:szCs w:val="24"/>
          <w:lang w:val="en-GB"/>
        </w:rPr>
      </w:pPr>
    </w:p>
    <w:p w:rsidR="00CA7900" w:rsidRPr="00CA7900" w:rsidRDefault="00CA7900" w:rsidP="00DF7A1B">
      <w:pPr>
        <w:spacing w:line="288" w:lineRule="auto"/>
        <w:rPr>
          <w:rFonts w:ascii="Times New Roman" w:eastAsia="TimesNRMTPro" w:hAnsi="Times New Roman"/>
          <w:bCs/>
          <w:szCs w:val="24"/>
          <w:lang w:val="en-GB"/>
        </w:rPr>
      </w:pPr>
      <w:r w:rsidRPr="00CA7900">
        <w:rPr>
          <w:rFonts w:ascii="Times New Roman" w:eastAsia="TimesNRMTPro" w:hAnsi="Times New Roman"/>
          <w:bCs/>
          <w:szCs w:val="24"/>
          <w:lang w:val="en-GB"/>
        </w:rPr>
        <w:t xml:space="preserve">Verhoef, V., Azahaf, S. and Bijkerk, W. (2008), </w:t>
      </w:r>
      <w:r>
        <w:rPr>
          <w:rFonts w:ascii="Times New Roman" w:eastAsia="TimesNRMTPro" w:hAnsi="Times New Roman"/>
          <w:bCs/>
          <w:szCs w:val="24"/>
          <w:lang w:val="en-GB"/>
        </w:rPr>
        <w:t>“</w:t>
      </w:r>
      <w:r w:rsidRPr="00CA7900">
        <w:rPr>
          <w:rFonts w:ascii="Times New Roman" w:eastAsia="TimesNRMTPro" w:hAnsi="Times New Roman"/>
          <w:bCs/>
          <w:szCs w:val="24"/>
          <w:lang w:val="en-GB"/>
        </w:rPr>
        <w:t>Islamic Financ</w:t>
      </w:r>
      <w:r w:rsidR="00CB720E">
        <w:rPr>
          <w:rFonts w:ascii="Times New Roman" w:eastAsia="TimesNRMTPro" w:hAnsi="Times New Roman"/>
          <w:bCs/>
          <w:szCs w:val="24"/>
          <w:lang w:val="en-GB"/>
        </w:rPr>
        <w:t>e</w:t>
      </w:r>
      <w:r w:rsidRPr="00CA7900">
        <w:rPr>
          <w:rFonts w:ascii="Times New Roman" w:eastAsia="TimesNRMTPro" w:hAnsi="Times New Roman"/>
          <w:bCs/>
          <w:szCs w:val="24"/>
          <w:lang w:val="en-GB"/>
        </w:rPr>
        <w:t xml:space="preserve"> and Supervision: an exploratory analysis</w:t>
      </w:r>
      <w:r>
        <w:rPr>
          <w:rFonts w:ascii="Times New Roman" w:eastAsia="TimesNRMTPro" w:hAnsi="Times New Roman"/>
          <w:bCs/>
          <w:szCs w:val="24"/>
          <w:lang w:val="en-GB"/>
        </w:rPr>
        <w:t>”</w:t>
      </w:r>
      <w:r w:rsidRPr="00CA7900">
        <w:rPr>
          <w:rFonts w:ascii="Times New Roman" w:eastAsia="TimesNRMTPro" w:hAnsi="Times New Roman"/>
          <w:bCs/>
          <w:szCs w:val="24"/>
          <w:lang w:val="en-GB"/>
        </w:rPr>
        <w:t>,</w:t>
      </w:r>
      <w:r>
        <w:rPr>
          <w:rFonts w:ascii="Times New Roman" w:eastAsia="TimesNRMTPro" w:hAnsi="Times New Roman"/>
          <w:bCs/>
          <w:szCs w:val="24"/>
          <w:lang w:val="en-GB"/>
        </w:rPr>
        <w:t xml:space="preserve"> </w:t>
      </w:r>
      <w:r w:rsidRPr="0062481D">
        <w:rPr>
          <w:rFonts w:ascii="Times New Roman" w:eastAsia="TimesNRMTPro" w:hAnsi="Times New Roman"/>
          <w:bCs/>
          <w:i/>
          <w:szCs w:val="24"/>
          <w:lang w:val="en-GB"/>
        </w:rPr>
        <w:t>Occasional Studies</w:t>
      </w:r>
      <w:r>
        <w:rPr>
          <w:rFonts w:ascii="Times New Roman" w:eastAsia="TimesNRMTPro" w:hAnsi="Times New Roman"/>
          <w:bCs/>
          <w:szCs w:val="24"/>
          <w:lang w:val="en-GB"/>
        </w:rPr>
        <w:t xml:space="preserve"> Vol. 6 No. 3, De Nederlandsche Bank. Available on www.dnb.nl.</w:t>
      </w:r>
    </w:p>
    <w:p w:rsidR="0061646B" w:rsidRPr="00CA7900" w:rsidRDefault="0061646B" w:rsidP="0061646B">
      <w:pPr>
        <w:spacing w:line="288" w:lineRule="auto"/>
        <w:rPr>
          <w:rFonts w:ascii="Times New Roman" w:eastAsia="TimesNRMTPro" w:hAnsi="Times New Roman"/>
          <w:szCs w:val="24"/>
          <w:lang w:val="en-GB"/>
        </w:rPr>
      </w:pPr>
    </w:p>
    <w:p w:rsidR="0061646B" w:rsidRPr="00772634" w:rsidRDefault="0061646B" w:rsidP="0061646B">
      <w:pPr>
        <w:spacing w:line="288" w:lineRule="auto"/>
        <w:rPr>
          <w:rFonts w:ascii="Times New Roman" w:eastAsia="TimesNRMTPro" w:hAnsi="Times New Roman"/>
          <w:caps/>
          <w:szCs w:val="24"/>
          <w:lang w:val="en-GB"/>
        </w:rPr>
      </w:pPr>
      <w:r>
        <w:rPr>
          <w:rFonts w:ascii="Times New Roman" w:eastAsia="TimesNRMTPro" w:hAnsi="Times New Roman"/>
          <w:szCs w:val="24"/>
          <w:lang w:val="en-GB"/>
        </w:rPr>
        <w:t>Visser, H</w:t>
      </w:r>
      <w:r w:rsidR="003E6627">
        <w:rPr>
          <w:rFonts w:ascii="Times New Roman" w:eastAsia="TimesNRMTPro" w:hAnsi="Times New Roman"/>
          <w:szCs w:val="24"/>
          <w:lang w:val="en-GB"/>
        </w:rPr>
        <w:t>.</w:t>
      </w:r>
      <w:r>
        <w:rPr>
          <w:rFonts w:ascii="Times New Roman" w:eastAsia="TimesNRMTPro" w:hAnsi="Times New Roman"/>
          <w:szCs w:val="24"/>
          <w:lang w:val="en-GB"/>
        </w:rPr>
        <w:t xml:space="preserve"> </w:t>
      </w:r>
      <w:r w:rsidR="003E6627">
        <w:rPr>
          <w:rFonts w:ascii="Times New Roman" w:eastAsia="TimesNRMTPro" w:hAnsi="Times New Roman"/>
          <w:szCs w:val="24"/>
          <w:lang w:val="en-GB"/>
        </w:rPr>
        <w:t>(</w:t>
      </w:r>
      <w:r>
        <w:rPr>
          <w:rFonts w:ascii="Times New Roman" w:eastAsia="TimesNRMTPro" w:hAnsi="Times New Roman"/>
          <w:szCs w:val="24"/>
          <w:lang w:val="en-GB"/>
        </w:rPr>
        <w:t>2013</w:t>
      </w:r>
      <w:r w:rsidR="003E6627">
        <w:rPr>
          <w:rFonts w:ascii="Times New Roman" w:eastAsia="TimesNRMTPro" w:hAnsi="Times New Roman"/>
          <w:szCs w:val="24"/>
          <w:lang w:val="en-GB"/>
        </w:rPr>
        <w:t>)</w:t>
      </w:r>
      <w:r>
        <w:rPr>
          <w:rFonts w:ascii="Times New Roman" w:eastAsia="TimesNRMTPro" w:hAnsi="Times New Roman"/>
          <w:szCs w:val="24"/>
          <w:lang w:val="en-GB"/>
        </w:rPr>
        <w:t xml:space="preserve">, </w:t>
      </w:r>
      <w:r>
        <w:rPr>
          <w:rFonts w:ascii="Times New Roman" w:eastAsia="TimesNRMTPro" w:hAnsi="Times New Roman"/>
          <w:i/>
          <w:szCs w:val="24"/>
          <w:lang w:val="en-GB"/>
        </w:rPr>
        <w:t>Islamic Finance: Principles and Practice</w:t>
      </w:r>
      <w:r>
        <w:rPr>
          <w:rFonts w:ascii="Times New Roman" w:eastAsia="TimesNRMTPro" w:hAnsi="Times New Roman"/>
          <w:szCs w:val="24"/>
          <w:lang w:val="en-GB"/>
        </w:rPr>
        <w:t>, second edition, Edward Elgar, Cheltenham, UK and Northampton, MA, US</w:t>
      </w:r>
      <w:r>
        <w:rPr>
          <w:rFonts w:ascii="Times New Roman" w:eastAsia="TimesNRMTPro" w:hAnsi="Times New Roman"/>
          <w:caps/>
          <w:szCs w:val="24"/>
          <w:lang w:val="en-GB"/>
        </w:rPr>
        <w:t>A.</w:t>
      </w:r>
    </w:p>
    <w:p w:rsidR="0061646B" w:rsidRPr="00BE6B8D" w:rsidRDefault="0061646B" w:rsidP="0061646B">
      <w:pPr>
        <w:spacing w:line="288" w:lineRule="auto"/>
        <w:rPr>
          <w:rFonts w:ascii="Times New Roman" w:eastAsia="TimesNRMTPro" w:hAnsi="Times New Roman"/>
          <w:szCs w:val="24"/>
          <w:lang w:val="en-GB"/>
        </w:rPr>
      </w:pPr>
    </w:p>
    <w:p w:rsidR="0061646B" w:rsidRDefault="0061646B" w:rsidP="0061646B">
      <w:pPr>
        <w:spacing w:line="288" w:lineRule="auto"/>
        <w:rPr>
          <w:rFonts w:ascii="Times New Roman" w:hAnsi="Times New Roman" w:cs="Tahoma"/>
          <w:b/>
          <w:noProof w:val="0"/>
          <w:lang w:val="en-GB" w:eastAsia="en-US"/>
        </w:rPr>
      </w:pPr>
      <w:r>
        <w:rPr>
          <w:rFonts w:ascii="Times New Roman" w:eastAsia="TimesNRMTPro" w:hAnsi="Times New Roman"/>
          <w:szCs w:val="24"/>
          <w:lang w:val="en-GB"/>
        </w:rPr>
        <w:t>Visser, H</w:t>
      </w:r>
      <w:r w:rsidR="003E6627">
        <w:rPr>
          <w:rFonts w:ascii="Times New Roman" w:eastAsia="TimesNRMTPro" w:hAnsi="Times New Roman"/>
          <w:szCs w:val="24"/>
          <w:lang w:val="en-GB"/>
        </w:rPr>
        <w:t>.</w:t>
      </w:r>
      <w:r>
        <w:rPr>
          <w:rFonts w:ascii="Times New Roman" w:eastAsia="TimesNRMTPro" w:hAnsi="Times New Roman"/>
          <w:szCs w:val="24"/>
          <w:lang w:val="en-GB"/>
        </w:rPr>
        <w:t xml:space="preserve"> </w:t>
      </w:r>
      <w:r w:rsidR="003E6627">
        <w:rPr>
          <w:rFonts w:ascii="Times New Roman" w:eastAsia="TimesNRMTPro" w:hAnsi="Times New Roman"/>
          <w:szCs w:val="24"/>
          <w:lang w:val="en-GB"/>
        </w:rPr>
        <w:t>(</w:t>
      </w:r>
      <w:r>
        <w:rPr>
          <w:rFonts w:ascii="Times New Roman" w:eastAsia="TimesNRMTPro" w:hAnsi="Times New Roman"/>
          <w:szCs w:val="24"/>
          <w:lang w:val="en-GB"/>
        </w:rPr>
        <w:t>2016</w:t>
      </w:r>
      <w:r w:rsidR="003E6627">
        <w:rPr>
          <w:rFonts w:ascii="Times New Roman" w:eastAsia="TimesNRMTPro" w:hAnsi="Times New Roman"/>
          <w:szCs w:val="24"/>
          <w:lang w:val="en-GB"/>
        </w:rPr>
        <w:t>)</w:t>
      </w:r>
      <w:r>
        <w:rPr>
          <w:rFonts w:ascii="Times New Roman" w:eastAsia="TimesNRMTPro" w:hAnsi="Times New Roman"/>
          <w:szCs w:val="24"/>
          <w:lang w:val="en-GB"/>
        </w:rPr>
        <w:t xml:space="preserve">, </w:t>
      </w:r>
      <w:r w:rsidRPr="00C57555">
        <w:rPr>
          <w:rFonts w:ascii="Times New Roman" w:eastAsia="TimesNRMTPro" w:hAnsi="Times New Roman"/>
          <w:szCs w:val="24"/>
          <w:lang w:val="en-GB"/>
        </w:rPr>
        <w:t xml:space="preserve"> </w:t>
      </w:r>
      <w:r>
        <w:rPr>
          <w:rFonts w:ascii="Times New Roman" w:eastAsia="TimesNRMTPro" w:hAnsi="Times New Roman"/>
          <w:szCs w:val="24"/>
          <w:lang w:val="en-GB"/>
        </w:rPr>
        <w:t>‘</w:t>
      </w:r>
      <w:r w:rsidRPr="0018232A">
        <w:rPr>
          <w:rFonts w:ascii="Times New Roman" w:hAnsi="Times New Roman" w:cs="Tahoma"/>
          <w:noProof w:val="0"/>
          <w:lang w:val="en-GB" w:eastAsia="en-US"/>
        </w:rPr>
        <w:t>The Lure of Gold and Silver: Dinars and Dirhams for the 21st Century</w:t>
      </w:r>
      <w:r>
        <w:rPr>
          <w:rFonts w:ascii="Times New Roman" w:hAnsi="Times New Roman" w:cs="Tahoma"/>
          <w:noProof w:val="0"/>
          <w:lang w:val="en-GB" w:eastAsia="en-US"/>
        </w:rPr>
        <w:t>’</w:t>
      </w:r>
      <w:r w:rsidRPr="0018232A">
        <w:rPr>
          <w:rFonts w:ascii="Times New Roman" w:hAnsi="Times New Roman" w:cs="Tahoma"/>
          <w:noProof w:val="0"/>
          <w:lang w:val="en-GB" w:eastAsia="en-US"/>
        </w:rPr>
        <w:t xml:space="preserve">, paper presented at the workshop on </w:t>
      </w:r>
      <w:r w:rsidRPr="0018232A">
        <w:rPr>
          <w:rFonts w:ascii="Times New Roman" w:hAnsi="Times New Roman" w:cs="Tahoma"/>
          <w:lang w:val="en-GB" w:eastAsia="en-US"/>
        </w:rPr>
        <w:t>Non-Capitalist Islam—Yesterday's Ideology or New Horizon?, Oriental Seminary, University of Cologne, February 15 – 17</w:t>
      </w:r>
      <w:r>
        <w:rPr>
          <w:rFonts w:ascii="Times New Roman" w:hAnsi="Times New Roman" w:cs="Tahoma"/>
          <w:lang w:val="en-GB" w:eastAsia="en-US"/>
        </w:rPr>
        <w:t>. Available on</w:t>
      </w:r>
      <w:r w:rsidR="003E6627">
        <w:rPr>
          <w:rFonts w:ascii="Times New Roman" w:hAnsi="Times New Roman" w:cs="Tahoma"/>
          <w:lang w:val="en-GB" w:eastAsia="en-US"/>
        </w:rPr>
        <w:t xml:space="preserve">: </w:t>
      </w:r>
      <w:r>
        <w:rPr>
          <w:rFonts w:ascii="Times New Roman" w:hAnsi="Times New Roman" w:cs="Tahoma"/>
          <w:lang w:val="en-GB" w:eastAsia="en-US"/>
        </w:rPr>
        <w:t xml:space="preserve"> </w:t>
      </w:r>
      <w:r w:rsidR="003E6627" w:rsidRPr="003E6627">
        <w:rPr>
          <w:rFonts w:ascii="Times New Roman" w:hAnsi="Times New Roman" w:cs="Tahoma"/>
          <w:lang w:val="en-GB" w:eastAsia="en-US"/>
        </w:rPr>
        <w:t>https://www.researchgate.net/publication/295702625_Gold_Dinars_and_Silver_Dirhams_for_the_21st_Century</w:t>
      </w:r>
      <w:r w:rsidR="003E6627">
        <w:rPr>
          <w:rFonts w:ascii="Times New Roman" w:hAnsi="Times New Roman" w:cs="Tahoma"/>
          <w:lang w:val="en-GB" w:eastAsia="en-US"/>
        </w:rPr>
        <w:t>.</w:t>
      </w:r>
    </w:p>
    <w:p w:rsidR="0061646B" w:rsidRDefault="0061646B" w:rsidP="0061646B">
      <w:pPr>
        <w:spacing w:line="288" w:lineRule="auto"/>
        <w:rPr>
          <w:rFonts w:ascii="Times New Roman" w:hAnsi="Times New Roman" w:cs="Tahoma"/>
          <w:b/>
          <w:noProof w:val="0"/>
          <w:lang w:val="en-GB" w:eastAsia="en-US"/>
        </w:rPr>
      </w:pPr>
    </w:p>
    <w:p w:rsidR="00551520" w:rsidRDefault="008A5C20" w:rsidP="00A2464A">
      <w:pPr>
        <w:spacing w:line="288" w:lineRule="auto"/>
        <w:rPr>
          <w:rFonts w:ascii="Times New Roman" w:hAnsi="Times New Roman"/>
          <w:bCs/>
          <w:noProof w:val="0"/>
          <w:szCs w:val="21"/>
          <w:lang w:val="en-US"/>
        </w:rPr>
      </w:pPr>
      <w:r w:rsidRPr="001833A1">
        <w:rPr>
          <w:rFonts w:ascii="Times New Roman" w:hAnsi="Times New Roman"/>
          <w:bCs/>
          <w:noProof w:val="0"/>
          <w:szCs w:val="21"/>
          <w:lang w:val="en-US"/>
        </w:rPr>
        <w:t>Vizcaino,</w:t>
      </w:r>
      <w:r w:rsidRPr="007F1AED">
        <w:rPr>
          <w:rFonts w:ascii="Times New Roman" w:hAnsi="Times New Roman"/>
          <w:bCs/>
          <w:noProof w:val="0"/>
          <w:szCs w:val="21"/>
          <w:lang w:val="en-US"/>
        </w:rPr>
        <w:t xml:space="preserve"> </w:t>
      </w:r>
      <w:r w:rsidR="0038450F">
        <w:rPr>
          <w:rFonts w:ascii="Times New Roman" w:hAnsi="Times New Roman"/>
          <w:bCs/>
          <w:noProof w:val="0"/>
          <w:szCs w:val="21"/>
          <w:lang w:val="en-US"/>
        </w:rPr>
        <w:t>B.</w:t>
      </w:r>
      <w:r>
        <w:rPr>
          <w:rFonts w:ascii="Times New Roman" w:hAnsi="Times New Roman"/>
          <w:bCs/>
          <w:noProof w:val="0"/>
          <w:szCs w:val="21"/>
          <w:lang w:val="en-US"/>
        </w:rPr>
        <w:t xml:space="preserve"> </w:t>
      </w:r>
      <w:r w:rsidR="0038450F">
        <w:rPr>
          <w:rFonts w:ascii="Times New Roman" w:hAnsi="Times New Roman"/>
          <w:bCs/>
          <w:noProof w:val="0"/>
          <w:szCs w:val="21"/>
          <w:lang w:val="en-US"/>
        </w:rPr>
        <w:t>(</w:t>
      </w:r>
      <w:r>
        <w:rPr>
          <w:rFonts w:ascii="Times New Roman" w:hAnsi="Times New Roman"/>
          <w:bCs/>
          <w:noProof w:val="0"/>
          <w:szCs w:val="21"/>
          <w:lang w:val="en-US"/>
        </w:rPr>
        <w:t>2014</w:t>
      </w:r>
      <w:r w:rsidR="0038450F">
        <w:rPr>
          <w:rFonts w:ascii="Times New Roman" w:hAnsi="Times New Roman"/>
          <w:bCs/>
          <w:noProof w:val="0"/>
          <w:szCs w:val="21"/>
          <w:lang w:val="en-US"/>
        </w:rPr>
        <w:t>)</w:t>
      </w:r>
      <w:r>
        <w:rPr>
          <w:rFonts w:ascii="Times New Roman" w:hAnsi="Times New Roman"/>
          <w:bCs/>
          <w:noProof w:val="0"/>
          <w:szCs w:val="21"/>
          <w:lang w:val="en-US"/>
        </w:rPr>
        <w:t xml:space="preserve">, </w:t>
      </w:r>
      <w:r w:rsidR="00A2464A">
        <w:rPr>
          <w:rFonts w:ascii="Times New Roman" w:hAnsi="Times New Roman"/>
          <w:bCs/>
          <w:noProof w:val="0"/>
          <w:szCs w:val="21"/>
          <w:lang w:val="en-US"/>
        </w:rPr>
        <w:t>‘</w:t>
      </w:r>
      <w:r w:rsidRPr="001833A1">
        <w:rPr>
          <w:rFonts w:ascii="Times New Roman" w:hAnsi="Times New Roman"/>
          <w:bCs/>
          <w:noProof w:val="0"/>
          <w:szCs w:val="21"/>
          <w:lang w:val="en-US"/>
        </w:rPr>
        <w:t>Basel III deposit challenge looms over Islamic banks</w:t>
      </w:r>
      <w:r w:rsidR="00A2464A">
        <w:rPr>
          <w:rFonts w:ascii="Times New Roman" w:hAnsi="Times New Roman"/>
          <w:bCs/>
          <w:noProof w:val="0"/>
          <w:szCs w:val="21"/>
          <w:lang w:val="en-US"/>
        </w:rPr>
        <w:t>’</w:t>
      </w:r>
      <w:r w:rsidRPr="001833A1">
        <w:rPr>
          <w:rFonts w:ascii="Times New Roman" w:hAnsi="Times New Roman"/>
          <w:bCs/>
          <w:noProof w:val="0"/>
          <w:szCs w:val="21"/>
          <w:lang w:val="en-US"/>
        </w:rPr>
        <w:t xml:space="preserve">, </w:t>
      </w:r>
      <w:r w:rsidR="0038450F">
        <w:rPr>
          <w:rFonts w:ascii="Times New Roman" w:hAnsi="Times New Roman"/>
          <w:bCs/>
          <w:noProof w:val="0"/>
          <w:szCs w:val="21"/>
          <w:lang w:val="en-US"/>
        </w:rPr>
        <w:t>Reu</w:t>
      </w:r>
      <w:r w:rsidRPr="001833A1">
        <w:rPr>
          <w:rFonts w:ascii="Times New Roman" w:hAnsi="Times New Roman"/>
          <w:bCs/>
          <w:noProof w:val="0"/>
          <w:szCs w:val="21"/>
          <w:lang w:val="en-US"/>
        </w:rPr>
        <w:t>ters</w:t>
      </w:r>
      <w:r>
        <w:rPr>
          <w:rFonts w:ascii="Times New Roman" w:hAnsi="Times New Roman"/>
          <w:bCs/>
          <w:noProof w:val="0"/>
          <w:szCs w:val="21"/>
          <w:lang w:val="en-US"/>
        </w:rPr>
        <w:t xml:space="preserve">, 2 September, </w:t>
      </w:r>
      <w:r w:rsidR="0038450F">
        <w:rPr>
          <w:rFonts w:ascii="Times New Roman" w:hAnsi="Times New Roman"/>
          <w:bCs/>
          <w:noProof w:val="0"/>
          <w:szCs w:val="21"/>
          <w:lang w:val="en-US"/>
        </w:rPr>
        <w:t>available on</w:t>
      </w:r>
      <w:r w:rsidR="0038450F" w:rsidRPr="00A2464A">
        <w:rPr>
          <w:rFonts w:ascii="Times New Roman" w:hAnsi="Times New Roman"/>
          <w:bCs/>
          <w:noProof w:val="0"/>
          <w:szCs w:val="21"/>
          <w:lang w:val="en-US"/>
        </w:rPr>
        <w:t xml:space="preserve"> </w:t>
      </w:r>
      <w:hyperlink r:id="rId10" w:history="1">
        <w:r w:rsidR="00551520" w:rsidRPr="00A2464A">
          <w:rPr>
            <w:rStyle w:val="Hyperlink"/>
            <w:rFonts w:ascii="Times New Roman" w:hAnsi="Times New Roman"/>
            <w:noProof w:val="0"/>
            <w:color w:val="auto"/>
            <w:szCs w:val="21"/>
            <w:u w:val="none"/>
            <w:lang w:val="en-US"/>
          </w:rPr>
          <w:t>http://in.reuters.com/article/2014/09/02/islam-banking-deposits-idINKBN0GX0JU20140902</w:t>
        </w:r>
      </w:hyperlink>
      <w:r w:rsidR="0038450F">
        <w:rPr>
          <w:rFonts w:ascii="Times New Roman" w:hAnsi="Times New Roman"/>
          <w:bCs/>
          <w:noProof w:val="0"/>
          <w:szCs w:val="21"/>
          <w:lang w:val="en-US"/>
        </w:rPr>
        <w:t>.</w:t>
      </w:r>
    </w:p>
    <w:p w:rsidR="00551520" w:rsidRDefault="00551520" w:rsidP="008A5C20">
      <w:pPr>
        <w:spacing w:line="288" w:lineRule="auto"/>
        <w:rPr>
          <w:rFonts w:ascii="Times New Roman" w:hAnsi="Times New Roman"/>
          <w:bCs/>
          <w:noProof w:val="0"/>
          <w:szCs w:val="21"/>
          <w:lang w:val="en-US"/>
        </w:rPr>
      </w:pPr>
    </w:p>
    <w:p w:rsidR="0061646B" w:rsidRDefault="00551520" w:rsidP="002D694F">
      <w:pPr>
        <w:spacing w:line="288" w:lineRule="auto"/>
        <w:rPr>
          <w:rFonts w:ascii="Times New Roman" w:eastAsia="TimesNRMTPro" w:hAnsi="Times New Roman"/>
          <w:szCs w:val="24"/>
          <w:u w:val="single"/>
          <w:lang w:val="en-GB"/>
        </w:rPr>
      </w:pPr>
      <w:r w:rsidRPr="001833A1">
        <w:rPr>
          <w:rFonts w:ascii="Times New Roman" w:hAnsi="Times New Roman"/>
          <w:bCs/>
          <w:noProof w:val="0"/>
          <w:szCs w:val="21"/>
          <w:lang w:val="en-US"/>
        </w:rPr>
        <w:t>Vizcaino,</w:t>
      </w:r>
      <w:r w:rsidRPr="007F1AED">
        <w:rPr>
          <w:rFonts w:ascii="Times New Roman" w:hAnsi="Times New Roman"/>
          <w:bCs/>
          <w:noProof w:val="0"/>
          <w:szCs w:val="21"/>
          <w:lang w:val="en-US"/>
        </w:rPr>
        <w:t xml:space="preserve"> </w:t>
      </w:r>
      <w:r>
        <w:rPr>
          <w:rFonts w:ascii="Times New Roman" w:hAnsi="Times New Roman"/>
          <w:bCs/>
          <w:noProof w:val="0"/>
          <w:szCs w:val="21"/>
          <w:lang w:val="en-US"/>
        </w:rPr>
        <w:t xml:space="preserve">B. (2016), </w:t>
      </w:r>
      <w:r w:rsidR="00A2464A">
        <w:rPr>
          <w:rFonts w:ascii="Times New Roman" w:hAnsi="Times New Roman"/>
          <w:bCs/>
          <w:noProof w:val="0"/>
          <w:szCs w:val="21"/>
          <w:lang w:val="en-US"/>
        </w:rPr>
        <w:t>‘</w:t>
      </w:r>
      <w:r w:rsidRPr="00551520">
        <w:rPr>
          <w:rFonts w:ascii="Times New Roman" w:hAnsi="Times New Roman"/>
          <w:bCs/>
          <w:noProof w:val="0"/>
          <w:szCs w:val="21"/>
          <w:lang w:val="en-US"/>
        </w:rPr>
        <w:t>Islamic banks adapting to IFRS accounting rules</w:t>
      </w:r>
      <w:r w:rsidR="00A2464A">
        <w:rPr>
          <w:rFonts w:ascii="Times New Roman" w:hAnsi="Times New Roman"/>
          <w:bCs/>
          <w:noProof w:val="0"/>
          <w:szCs w:val="21"/>
          <w:lang w:val="en-US"/>
        </w:rPr>
        <w:t xml:space="preserve">’, Reuters, 28 November, available on </w:t>
      </w:r>
      <w:r w:rsidR="00A2464A" w:rsidRPr="00A2464A">
        <w:rPr>
          <w:rFonts w:ascii="Times New Roman" w:hAnsi="Times New Roman"/>
          <w:bCs/>
          <w:noProof w:val="0"/>
          <w:szCs w:val="21"/>
          <w:lang w:val="en-US"/>
        </w:rPr>
        <w:t>http://www.arabnews.com/node/1016786/business-economy</w:t>
      </w:r>
      <w:r w:rsidR="00A2464A">
        <w:rPr>
          <w:rFonts w:ascii="Times New Roman" w:hAnsi="Times New Roman"/>
          <w:bCs/>
          <w:noProof w:val="0"/>
          <w:szCs w:val="21"/>
          <w:lang w:val="en-US"/>
        </w:rPr>
        <w:t>.</w:t>
      </w:r>
    </w:p>
    <w:sectPr w:rsidR="0061646B" w:rsidSect="005F0190">
      <w:headerReference w:type="default" r:id="rId11"/>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5">
      <wne:acd wne:acdName="acd1"/>
    </wne:keymap>
    <wne:keymap wne:kcmPrimary="0226">
      <wne:acd wne:acdName="acd2"/>
    </wne:keymap>
    <wne:keymap wne:kcmPrimary="0227">
      <wne:acd wne:acdName="acd3"/>
    </wne:keymap>
    <wne:keymap wne:kcmPrimary="0228">
      <wne:acd wne:acdName="acd4"/>
    </wne:keymap>
    <wne:keymap wne:kcmPrimary="0245">
      <wne:acd wne:acdName="acd5"/>
    </wne:keymap>
    <wne:keymap wne:kcmPrimary="0249">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7wBUAGkAbQBlAHMAIABOAGUAdwAgAFIAbwBtAGEAbgA=" wne:acdName="acd0" wne:fciBasedOn="Symbol"/>
    <wne:acd wne:argValue="kCFUAGkAbQBlAHMAIABOAGUAdwAgAFIAbwBtAGEAbgA=" wne:acdName="acd1" wne:fciBasedOn="Symbol"/>
    <wne:acd wne:argValue="kSFUAGkAbQBlAHMAIABOAGUAdwAgAFIAbwBtAGEAbgA=" wne:acdName="acd2" wne:fciBasedOn="Symbol"/>
    <wne:acd wne:argValue="kiFUAGkAbQBlAHMAIABOAGUAdwAgAFIAbwBtAGEAbgA=" wne:acdName="acd3" wne:fciBasedOn="Symbol"/>
    <wne:acd wne:argValue="kyFUAGkAbQBlAHMAIABOAGUAdwAgAFIAbwBtAGEAbgA=" wne:acdName="acd4" wne:fciBasedOn="Symbol"/>
    <wne:acd wne:argValue="6wBUAGkAbQBlAHMAIABOAGUAdwAgAFIAbwBtAGEAbgA=" wne:acdName="acd5"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F4" w:rsidRDefault="00C736F4" w:rsidP="005F0190">
      <w:r>
        <w:separator/>
      </w:r>
    </w:p>
  </w:endnote>
  <w:endnote w:type="continuationSeparator" w:id="0">
    <w:p w:rsidR="00C736F4" w:rsidRDefault="00C736F4" w:rsidP="005F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RMTPro">
    <w:altName w:val="MS Mincho"/>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F4" w:rsidRDefault="00C736F4" w:rsidP="005F0190">
      <w:r>
        <w:separator/>
      </w:r>
    </w:p>
  </w:footnote>
  <w:footnote w:type="continuationSeparator" w:id="0">
    <w:p w:rsidR="00C736F4" w:rsidRDefault="00C736F4" w:rsidP="005F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558738"/>
      <w:docPartObj>
        <w:docPartGallery w:val="Page Numbers (Top of Page)"/>
        <w:docPartUnique/>
      </w:docPartObj>
    </w:sdtPr>
    <w:sdtEndPr/>
    <w:sdtContent>
      <w:p w:rsidR="00A2464A" w:rsidRDefault="00A2464A">
        <w:pPr>
          <w:pStyle w:val="Header"/>
          <w:jc w:val="right"/>
        </w:pPr>
        <w:r>
          <w:fldChar w:fldCharType="begin"/>
        </w:r>
        <w:r>
          <w:instrText>PAGE   \* MERGEFORMAT</w:instrText>
        </w:r>
        <w:r>
          <w:fldChar w:fldCharType="separate"/>
        </w:r>
        <w:r w:rsidR="008A06E8">
          <w:t>6</w:t>
        </w:r>
        <w:r>
          <w:fldChar w:fldCharType="end"/>
        </w:r>
      </w:p>
    </w:sdtContent>
  </w:sdt>
  <w:p w:rsidR="00A2464A" w:rsidRDefault="00A24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453"/>
    <w:multiLevelType w:val="multilevel"/>
    <w:tmpl w:val="D958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4C5D"/>
    <w:multiLevelType w:val="hybridMultilevel"/>
    <w:tmpl w:val="45E60CDC"/>
    <w:lvl w:ilvl="0" w:tplc="48A8BA0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614A0E"/>
    <w:multiLevelType w:val="hybridMultilevel"/>
    <w:tmpl w:val="9B3E4A7E"/>
    <w:lvl w:ilvl="0" w:tplc="E63AF160">
      <w:start w:val="14"/>
      <w:numFmt w:val="bullet"/>
      <w:lvlText w:val="-"/>
      <w:lvlJc w:val="left"/>
      <w:pPr>
        <w:ind w:left="720" w:hanging="360"/>
      </w:pPr>
      <w:rPr>
        <w:rFonts w:ascii="Times New Roman" w:eastAsia="TimesNRMTPr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A60D6"/>
    <w:multiLevelType w:val="hybridMultilevel"/>
    <w:tmpl w:val="4AEA89C0"/>
    <w:lvl w:ilvl="0" w:tplc="C8005800">
      <w:start w:val="14"/>
      <w:numFmt w:val="bullet"/>
      <w:lvlText w:val="-"/>
      <w:lvlJc w:val="left"/>
      <w:pPr>
        <w:ind w:left="720" w:hanging="360"/>
      </w:pPr>
      <w:rPr>
        <w:rFonts w:ascii="Times New Roman" w:eastAsia="TimesNRMTPr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77E89"/>
    <w:multiLevelType w:val="multilevel"/>
    <w:tmpl w:val="31D8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108BC"/>
    <w:multiLevelType w:val="hybridMultilevel"/>
    <w:tmpl w:val="9E34D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A2959"/>
    <w:multiLevelType w:val="hybridMultilevel"/>
    <w:tmpl w:val="F8C8B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1520C"/>
    <w:multiLevelType w:val="multilevel"/>
    <w:tmpl w:val="9856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D0904"/>
    <w:multiLevelType w:val="hybridMultilevel"/>
    <w:tmpl w:val="A9163D88"/>
    <w:lvl w:ilvl="0" w:tplc="CC50CFFC">
      <w:start w:val="14"/>
      <w:numFmt w:val="bullet"/>
      <w:lvlText w:val="-"/>
      <w:lvlJc w:val="left"/>
      <w:pPr>
        <w:ind w:left="720" w:hanging="360"/>
      </w:pPr>
      <w:rPr>
        <w:rFonts w:ascii="Times New Roman" w:eastAsia="TimesNRMTPr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D4702"/>
    <w:multiLevelType w:val="hybridMultilevel"/>
    <w:tmpl w:val="A6569936"/>
    <w:lvl w:ilvl="0" w:tplc="A3CA1504">
      <w:start w:val="14"/>
      <w:numFmt w:val="bullet"/>
      <w:lvlText w:val="-"/>
      <w:lvlJc w:val="left"/>
      <w:pPr>
        <w:ind w:left="720" w:hanging="360"/>
      </w:pPr>
      <w:rPr>
        <w:rFonts w:ascii="Times New Roman" w:eastAsia="TimesNRMTPr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96D4E"/>
    <w:multiLevelType w:val="hybridMultilevel"/>
    <w:tmpl w:val="3C841BA6"/>
    <w:lvl w:ilvl="0" w:tplc="E0BAFA9E">
      <w:numFmt w:val="bullet"/>
      <w:lvlText w:val="-"/>
      <w:lvlJc w:val="left"/>
      <w:pPr>
        <w:ind w:left="720" w:hanging="360"/>
      </w:pPr>
      <w:rPr>
        <w:rFonts w:ascii="Times New Roman" w:eastAsia="TimesNRMTPr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16E03"/>
    <w:multiLevelType w:val="hybridMultilevel"/>
    <w:tmpl w:val="1E8C5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2"/>
  </w:num>
  <w:num w:numId="6">
    <w:abstractNumId w:val="9"/>
  </w:num>
  <w:num w:numId="7">
    <w:abstractNumId w:val="3"/>
  </w:num>
  <w:num w:numId="8">
    <w:abstractNumId w:val="10"/>
  </w:num>
  <w:num w:numId="9">
    <w:abstractNumId w:val="6"/>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oNotTrackFormatting/>
  <w:defaultTabStop w:val="21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A7"/>
    <w:rsid w:val="000112DB"/>
    <w:rsid w:val="0001159E"/>
    <w:rsid w:val="000124D6"/>
    <w:rsid w:val="00013F42"/>
    <w:rsid w:val="0002533D"/>
    <w:rsid w:val="00027DAD"/>
    <w:rsid w:val="000367EA"/>
    <w:rsid w:val="00041CAC"/>
    <w:rsid w:val="00043815"/>
    <w:rsid w:val="00055B8D"/>
    <w:rsid w:val="000605F0"/>
    <w:rsid w:val="00062C37"/>
    <w:rsid w:val="00062F0B"/>
    <w:rsid w:val="00064BFE"/>
    <w:rsid w:val="00065AD7"/>
    <w:rsid w:val="00065ECC"/>
    <w:rsid w:val="00074A4A"/>
    <w:rsid w:val="0007605A"/>
    <w:rsid w:val="00084102"/>
    <w:rsid w:val="00084EFA"/>
    <w:rsid w:val="00085BB2"/>
    <w:rsid w:val="000934C1"/>
    <w:rsid w:val="000A7133"/>
    <w:rsid w:val="000B2072"/>
    <w:rsid w:val="000C498A"/>
    <w:rsid w:val="000C7378"/>
    <w:rsid w:val="000E5BE6"/>
    <w:rsid w:val="000F3F6B"/>
    <w:rsid w:val="0014342C"/>
    <w:rsid w:val="001676E6"/>
    <w:rsid w:val="00173233"/>
    <w:rsid w:val="00176296"/>
    <w:rsid w:val="00177BD7"/>
    <w:rsid w:val="00177EB3"/>
    <w:rsid w:val="0018232A"/>
    <w:rsid w:val="001833A1"/>
    <w:rsid w:val="00184FE7"/>
    <w:rsid w:val="001852C9"/>
    <w:rsid w:val="00190CB2"/>
    <w:rsid w:val="00191003"/>
    <w:rsid w:val="00191EE7"/>
    <w:rsid w:val="00194A37"/>
    <w:rsid w:val="001968BB"/>
    <w:rsid w:val="00197C32"/>
    <w:rsid w:val="001A181E"/>
    <w:rsid w:val="001A3E0A"/>
    <w:rsid w:val="001B21F2"/>
    <w:rsid w:val="001B345A"/>
    <w:rsid w:val="001B4E66"/>
    <w:rsid w:val="001E0A04"/>
    <w:rsid w:val="001F0398"/>
    <w:rsid w:val="001F1549"/>
    <w:rsid w:val="00200D50"/>
    <w:rsid w:val="002026F3"/>
    <w:rsid w:val="00202FDB"/>
    <w:rsid w:val="002040D9"/>
    <w:rsid w:val="00214195"/>
    <w:rsid w:val="00215CDF"/>
    <w:rsid w:val="00217289"/>
    <w:rsid w:val="002216A7"/>
    <w:rsid w:val="00235180"/>
    <w:rsid w:val="002360FA"/>
    <w:rsid w:val="0025330C"/>
    <w:rsid w:val="00263D05"/>
    <w:rsid w:val="00271659"/>
    <w:rsid w:val="00273B58"/>
    <w:rsid w:val="00274310"/>
    <w:rsid w:val="00280823"/>
    <w:rsid w:val="002836F7"/>
    <w:rsid w:val="002900C7"/>
    <w:rsid w:val="002918C8"/>
    <w:rsid w:val="002932E6"/>
    <w:rsid w:val="002971D7"/>
    <w:rsid w:val="002A1F05"/>
    <w:rsid w:val="002B0078"/>
    <w:rsid w:val="002C58FC"/>
    <w:rsid w:val="002D694F"/>
    <w:rsid w:val="002E0B4F"/>
    <w:rsid w:val="002E0B5E"/>
    <w:rsid w:val="002E2CDE"/>
    <w:rsid w:val="002E570B"/>
    <w:rsid w:val="002F19C9"/>
    <w:rsid w:val="0030281B"/>
    <w:rsid w:val="003045A9"/>
    <w:rsid w:val="003069C1"/>
    <w:rsid w:val="0031416A"/>
    <w:rsid w:val="00315618"/>
    <w:rsid w:val="00320628"/>
    <w:rsid w:val="00320867"/>
    <w:rsid w:val="00321995"/>
    <w:rsid w:val="00324EB7"/>
    <w:rsid w:val="003250FB"/>
    <w:rsid w:val="00331D43"/>
    <w:rsid w:val="00335743"/>
    <w:rsid w:val="003373B5"/>
    <w:rsid w:val="003379E7"/>
    <w:rsid w:val="00343327"/>
    <w:rsid w:val="003543B0"/>
    <w:rsid w:val="003548DE"/>
    <w:rsid w:val="0035508F"/>
    <w:rsid w:val="0035639B"/>
    <w:rsid w:val="00362FF3"/>
    <w:rsid w:val="00364472"/>
    <w:rsid w:val="003718D9"/>
    <w:rsid w:val="00373289"/>
    <w:rsid w:val="00382C38"/>
    <w:rsid w:val="00383E9A"/>
    <w:rsid w:val="003840FF"/>
    <w:rsid w:val="0038450F"/>
    <w:rsid w:val="0039498B"/>
    <w:rsid w:val="00396557"/>
    <w:rsid w:val="003A0E9F"/>
    <w:rsid w:val="003B01B6"/>
    <w:rsid w:val="003D30D7"/>
    <w:rsid w:val="003D3608"/>
    <w:rsid w:val="003D6F02"/>
    <w:rsid w:val="003D7E31"/>
    <w:rsid w:val="003E13E9"/>
    <w:rsid w:val="003E1D71"/>
    <w:rsid w:val="003E2C67"/>
    <w:rsid w:val="003E37B3"/>
    <w:rsid w:val="003E4933"/>
    <w:rsid w:val="003E4F31"/>
    <w:rsid w:val="003E6627"/>
    <w:rsid w:val="00415EF1"/>
    <w:rsid w:val="00425F4E"/>
    <w:rsid w:val="00430C8C"/>
    <w:rsid w:val="004329A7"/>
    <w:rsid w:val="004353B6"/>
    <w:rsid w:val="00444CBE"/>
    <w:rsid w:val="00467F8A"/>
    <w:rsid w:val="00480E13"/>
    <w:rsid w:val="00481895"/>
    <w:rsid w:val="004831D7"/>
    <w:rsid w:val="004A0605"/>
    <w:rsid w:val="004A2067"/>
    <w:rsid w:val="004B5169"/>
    <w:rsid w:val="004B5C16"/>
    <w:rsid w:val="004B6A3A"/>
    <w:rsid w:val="004C2C3A"/>
    <w:rsid w:val="004E7E66"/>
    <w:rsid w:val="004F19AD"/>
    <w:rsid w:val="004F5958"/>
    <w:rsid w:val="00500FFE"/>
    <w:rsid w:val="0051212C"/>
    <w:rsid w:val="005145CD"/>
    <w:rsid w:val="00530A9B"/>
    <w:rsid w:val="00542906"/>
    <w:rsid w:val="00543334"/>
    <w:rsid w:val="00551520"/>
    <w:rsid w:val="0056019D"/>
    <w:rsid w:val="00560D2B"/>
    <w:rsid w:val="00560F86"/>
    <w:rsid w:val="00561CC5"/>
    <w:rsid w:val="00564339"/>
    <w:rsid w:val="00564454"/>
    <w:rsid w:val="00565BCB"/>
    <w:rsid w:val="0056751D"/>
    <w:rsid w:val="00572C88"/>
    <w:rsid w:val="005838EC"/>
    <w:rsid w:val="00583F89"/>
    <w:rsid w:val="00583FCB"/>
    <w:rsid w:val="00584FF9"/>
    <w:rsid w:val="005A0598"/>
    <w:rsid w:val="005A0735"/>
    <w:rsid w:val="005A2AE6"/>
    <w:rsid w:val="005B04A1"/>
    <w:rsid w:val="005C0393"/>
    <w:rsid w:val="005C0904"/>
    <w:rsid w:val="005D4655"/>
    <w:rsid w:val="005E426D"/>
    <w:rsid w:val="005F0190"/>
    <w:rsid w:val="005F3FF7"/>
    <w:rsid w:val="00601CA3"/>
    <w:rsid w:val="006029EC"/>
    <w:rsid w:val="00604D9B"/>
    <w:rsid w:val="006106DC"/>
    <w:rsid w:val="00612E27"/>
    <w:rsid w:val="0061646B"/>
    <w:rsid w:val="00621095"/>
    <w:rsid w:val="00622FC4"/>
    <w:rsid w:val="00623C0A"/>
    <w:rsid w:val="0062481D"/>
    <w:rsid w:val="00627143"/>
    <w:rsid w:val="00627679"/>
    <w:rsid w:val="00632369"/>
    <w:rsid w:val="006448A5"/>
    <w:rsid w:val="0065361B"/>
    <w:rsid w:val="006626B8"/>
    <w:rsid w:val="006707C7"/>
    <w:rsid w:val="00672F28"/>
    <w:rsid w:val="00681B9F"/>
    <w:rsid w:val="00692B95"/>
    <w:rsid w:val="00693461"/>
    <w:rsid w:val="00693DF6"/>
    <w:rsid w:val="006A0005"/>
    <w:rsid w:val="006A61D1"/>
    <w:rsid w:val="006B2957"/>
    <w:rsid w:val="006B3610"/>
    <w:rsid w:val="006C37A5"/>
    <w:rsid w:val="006C6251"/>
    <w:rsid w:val="006D3DC8"/>
    <w:rsid w:val="006E55D1"/>
    <w:rsid w:val="006E7ADB"/>
    <w:rsid w:val="006F2ADD"/>
    <w:rsid w:val="006F3121"/>
    <w:rsid w:val="00701F20"/>
    <w:rsid w:val="00701F3B"/>
    <w:rsid w:val="00706104"/>
    <w:rsid w:val="007104A0"/>
    <w:rsid w:val="00712233"/>
    <w:rsid w:val="00714071"/>
    <w:rsid w:val="00714767"/>
    <w:rsid w:val="00714B32"/>
    <w:rsid w:val="00722944"/>
    <w:rsid w:val="00727D61"/>
    <w:rsid w:val="0073135F"/>
    <w:rsid w:val="00745E63"/>
    <w:rsid w:val="00747531"/>
    <w:rsid w:val="00750969"/>
    <w:rsid w:val="007609ED"/>
    <w:rsid w:val="00767041"/>
    <w:rsid w:val="00772634"/>
    <w:rsid w:val="00794795"/>
    <w:rsid w:val="007968B6"/>
    <w:rsid w:val="007A0BD7"/>
    <w:rsid w:val="007A10D2"/>
    <w:rsid w:val="007B6AB4"/>
    <w:rsid w:val="007D1ED3"/>
    <w:rsid w:val="007D2563"/>
    <w:rsid w:val="007E45C6"/>
    <w:rsid w:val="007E6455"/>
    <w:rsid w:val="007E672B"/>
    <w:rsid w:val="007F1AED"/>
    <w:rsid w:val="007F3894"/>
    <w:rsid w:val="007F38A7"/>
    <w:rsid w:val="007F6956"/>
    <w:rsid w:val="00807871"/>
    <w:rsid w:val="0081208D"/>
    <w:rsid w:val="0081397A"/>
    <w:rsid w:val="0081463A"/>
    <w:rsid w:val="0081609B"/>
    <w:rsid w:val="00817E34"/>
    <w:rsid w:val="0082029D"/>
    <w:rsid w:val="00823A03"/>
    <w:rsid w:val="0082634E"/>
    <w:rsid w:val="008344B2"/>
    <w:rsid w:val="00850E11"/>
    <w:rsid w:val="008650C2"/>
    <w:rsid w:val="00866813"/>
    <w:rsid w:val="00872507"/>
    <w:rsid w:val="008808A9"/>
    <w:rsid w:val="008812FE"/>
    <w:rsid w:val="0088153F"/>
    <w:rsid w:val="008840D3"/>
    <w:rsid w:val="00887F30"/>
    <w:rsid w:val="0089003C"/>
    <w:rsid w:val="00890D9C"/>
    <w:rsid w:val="00892433"/>
    <w:rsid w:val="008972A4"/>
    <w:rsid w:val="008A06E8"/>
    <w:rsid w:val="008A285C"/>
    <w:rsid w:val="008A5C20"/>
    <w:rsid w:val="008B1F2B"/>
    <w:rsid w:val="008B777B"/>
    <w:rsid w:val="008B7825"/>
    <w:rsid w:val="008D303F"/>
    <w:rsid w:val="008D407A"/>
    <w:rsid w:val="008D6827"/>
    <w:rsid w:val="008D7DA0"/>
    <w:rsid w:val="008E1439"/>
    <w:rsid w:val="008F6475"/>
    <w:rsid w:val="009174DF"/>
    <w:rsid w:val="0092006F"/>
    <w:rsid w:val="00920AAE"/>
    <w:rsid w:val="009300CD"/>
    <w:rsid w:val="0093406B"/>
    <w:rsid w:val="00934977"/>
    <w:rsid w:val="00936AB9"/>
    <w:rsid w:val="00937209"/>
    <w:rsid w:val="00950DCB"/>
    <w:rsid w:val="00952A6C"/>
    <w:rsid w:val="0096444C"/>
    <w:rsid w:val="00977C6E"/>
    <w:rsid w:val="00984C92"/>
    <w:rsid w:val="00990CD4"/>
    <w:rsid w:val="009915E7"/>
    <w:rsid w:val="00995819"/>
    <w:rsid w:val="009A1198"/>
    <w:rsid w:val="009A37C5"/>
    <w:rsid w:val="009A737D"/>
    <w:rsid w:val="009B4E80"/>
    <w:rsid w:val="009D12E8"/>
    <w:rsid w:val="009D6148"/>
    <w:rsid w:val="009E5B5B"/>
    <w:rsid w:val="009E5E04"/>
    <w:rsid w:val="009F30CA"/>
    <w:rsid w:val="00A0118B"/>
    <w:rsid w:val="00A05172"/>
    <w:rsid w:val="00A13A56"/>
    <w:rsid w:val="00A16A02"/>
    <w:rsid w:val="00A2174D"/>
    <w:rsid w:val="00A22385"/>
    <w:rsid w:val="00A2464A"/>
    <w:rsid w:val="00A27253"/>
    <w:rsid w:val="00A301AB"/>
    <w:rsid w:val="00A30F9D"/>
    <w:rsid w:val="00A3652F"/>
    <w:rsid w:val="00A4379A"/>
    <w:rsid w:val="00A52CE1"/>
    <w:rsid w:val="00A6108A"/>
    <w:rsid w:val="00A7298C"/>
    <w:rsid w:val="00A831F4"/>
    <w:rsid w:val="00A85802"/>
    <w:rsid w:val="00A8586C"/>
    <w:rsid w:val="00A91E91"/>
    <w:rsid w:val="00A93132"/>
    <w:rsid w:val="00A9401F"/>
    <w:rsid w:val="00A97160"/>
    <w:rsid w:val="00AA0168"/>
    <w:rsid w:val="00AA0172"/>
    <w:rsid w:val="00AA12F2"/>
    <w:rsid w:val="00AA3FCA"/>
    <w:rsid w:val="00AA6D4D"/>
    <w:rsid w:val="00AA7450"/>
    <w:rsid w:val="00AA75D5"/>
    <w:rsid w:val="00AB0DF3"/>
    <w:rsid w:val="00AB5C35"/>
    <w:rsid w:val="00AB5E81"/>
    <w:rsid w:val="00AC3014"/>
    <w:rsid w:val="00AC307B"/>
    <w:rsid w:val="00AD048C"/>
    <w:rsid w:val="00AD2421"/>
    <w:rsid w:val="00AD37D8"/>
    <w:rsid w:val="00AF1D28"/>
    <w:rsid w:val="00AF63CB"/>
    <w:rsid w:val="00B02223"/>
    <w:rsid w:val="00B04F44"/>
    <w:rsid w:val="00B062DF"/>
    <w:rsid w:val="00B07670"/>
    <w:rsid w:val="00B07F45"/>
    <w:rsid w:val="00B17CBC"/>
    <w:rsid w:val="00B239F0"/>
    <w:rsid w:val="00B23B92"/>
    <w:rsid w:val="00B23C3D"/>
    <w:rsid w:val="00B315FE"/>
    <w:rsid w:val="00B34061"/>
    <w:rsid w:val="00B34A0D"/>
    <w:rsid w:val="00B37FAE"/>
    <w:rsid w:val="00B4402B"/>
    <w:rsid w:val="00B512D0"/>
    <w:rsid w:val="00B5413E"/>
    <w:rsid w:val="00B62C21"/>
    <w:rsid w:val="00B630F2"/>
    <w:rsid w:val="00B645F4"/>
    <w:rsid w:val="00B76DB7"/>
    <w:rsid w:val="00B82F0E"/>
    <w:rsid w:val="00BA03C2"/>
    <w:rsid w:val="00BA1305"/>
    <w:rsid w:val="00BB0DFC"/>
    <w:rsid w:val="00BB1ED5"/>
    <w:rsid w:val="00BC2F6D"/>
    <w:rsid w:val="00BC4546"/>
    <w:rsid w:val="00BD0D99"/>
    <w:rsid w:val="00BD3B92"/>
    <w:rsid w:val="00BE45F0"/>
    <w:rsid w:val="00BE5FE9"/>
    <w:rsid w:val="00BE64B2"/>
    <w:rsid w:val="00BE6B8D"/>
    <w:rsid w:val="00BF15A9"/>
    <w:rsid w:val="00BF22CF"/>
    <w:rsid w:val="00C00E70"/>
    <w:rsid w:val="00C0519F"/>
    <w:rsid w:val="00C0775C"/>
    <w:rsid w:val="00C3037B"/>
    <w:rsid w:val="00C3527A"/>
    <w:rsid w:val="00C41FCF"/>
    <w:rsid w:val="00C50831"/>
    <w:rsid w:val="00C5093B"/>
    <w:rsid w:val="00C56FF0"/>
    <w:rsid w:val="00C57555"/>
    <w:rsid w:val="00C6287C"/>
    <w:rsid w:val="00C631D9"/>
    <w:rsid w:val="00C736F4"/>
    <w:rsid w:val="00C74225"/>
    <w:rsid w:val="00C763EF"/>
    <w:rsid w:val="00C81594"/>
    <w:rsid w:val="00C82246"/>
    <w:rsid w:val="00C8689D"/>
    <w:rsid w:val="00C95366"/>
    <w:rsid w:val="00CA306A"/>
    <w:rsid w:val="00CA7900"/>
    <w:rsid w:val="00CB09C3"/>
    <w:rsid w:val="00CB720E"/>
    <w:rsid w:val="00CC0332"/>
    <w:rsid w:val="00CC5303"/>
    <w:rsid w:val="00CC5867"/>
    <w:rsid w:val="00CD5DFB"/>
    <w:rsid w:val="00CE1A51"/>
    <w:rsid w:val="00CE2805"/>
    <w:rsid w:val="00CE2FA5"/>
    <w:rsid w:val="00CE4B96"/>
    <w:rsid w:val="00CF045C"/>
    <w:rsid w:val="00CF1203"/>
    <w:rsid w:val="00CF3DB2"/>
    <w:rsid w:val="00CF7E38"/>
    <w:rsid w:val="00D024D2"/>
    <w:rsid w:val="00D13C8A"/>
    <w:rsid w:val="00D15A5D"/>
    <w:rsid w:val="00D16348"/>
    <w:rsid w:val="00D20932"/>
    <w:rsid w:val="00D22D60"/>
    <w:rsid w:val="00D33EA0"/>
    <w:rsid w:val="00D35F2A"/>
    <w:rsid w:val="00D40752"/>
    <w:rsid w:val="00D41164"/>
    <w:rsid w:val="00D41763"/>
    <w:rsid w:val="00D442C9"/>
    <w:rsid w:val="00D45DE2"/>
    <w:rsid w:val="00D460BD"/>
    <w:rsid w:val="00D46864"/>
    <w:rsid w:val="00D521FE"/>
    <w:rsid w:val="00D576E3"/>
    <w:rsid w:val="00D62B04"/>
    <w:rsid w:val="00D83D83"/>
    <w:rsid w:val="00D83F47"/>
    <w:rsid w:val="00D90155"/>
    <w:rsid w:val="00D97275"/>
    <w:rsid w:val="00DA02B3"/>
    <w:rsid w:val="00DA0DA5"/>
    <w:rsid w:val="00DA287F"/>
    <w:rsid w:val="00DA7720"/>
    <w:rsid w:val="00DB053C"/>
    <w:rsid w:val="00DC6C77"/>
    <w:rsid w:val="00DC7BD8"/>
    <w:rsid w:val="00DD73F3"/>
    <w:rsid w:val="00DE1F09"/>
    <w:rsid w:val="00DE3BD6"/>
    <w:rsid w:val="00DE51FD"/>
    <w:rsid w:val="00DF0B3B"/>
    <w:rsid w:val="00DF6BC1"/>
    <w:rsid w:val="00DF7A1B"/>
    <w:rsid w:val="00E123DF"/>
    <w:rsid w:val="00E12B75"/>
    <w:rsid w:val="00E14AB8"/>
    <w:rsid w:val="00E1738E"/>
    <w:rsid w:val="00E24674"/>
    <w:rsid w:val="00E254C2"/>
    <w:rsid w:val="00E3047D"/>
    <w:rsid w:val="00E468AA"/>
    <w:rsid w:val="00E47CA1"/>
    <w:rsid w:val="00E575E5"/>
    <w:rsid w:val="00E57C93"/>
    <w:rsid w:val="00E669D4"/>
    <w:rsid w:val="00E7569C"/>
    <w:rsid w:val="00E7605E"/>
    <w:rsid w:val="00E87B43"/>
    <w:rsid w:val="00E90319"/>
    <w:rsid w:val="00E90E92"/>
    <w:rsid w:val="00E91794"/>
    <w:rsid w:val="00E921ED"/>
    <w:rsid w:val="00EA300B"/>
    <w:rsid w:val="00EA6C4C"/>
    <w:rsid w:val="00EB007F"/>
    <w:rsid w:val="00EB4789"/>
    <w:rsid w:val="00EB494A"/>
    <w:rsid w:val="00EC52B1"/>
    <w:rsid w:val="00ED2C9F"/>
    <w:rsid w:val="00ED4651"/>
    <w:rsid w:val="00EE6C33"/>
    <w:rsid w:val="00EF189A"/>
    <w:rsid w:val="00F02C83"/>
    <w:rsid w:val="00F0792A"/>
    <w:rsid w:val="00F148E2"/>
    <w:rsid w:val="00F24888"/>
    <w:rsid w:val="00F352F5"/>
    <w:rsid w:val="00F37E3B"/>
    <w:rsid w:val="00F516B0"/>
    <w:rsid w:val="00F534B3"/>
    <w:rsid w:val="00F570DA"/>
    <w:rsid w:val="00F60414"/>
    <w:rsid w:val="00F6117D"/>
    <w:rsid w:val="00F66CF5"/>
    <w:rsid w:val="00F76201"/>
    <w:rsid w:val="00F76401"/>
    <w:rsid w:val="00F83DEB"/>
    <w:rsid w:val="00FA2221"/>
    <w:rsid w:val="00FA3792"/>
    <w:rsid w:val="00FA4081"/>
    <w:rsid w:val="00FA5F99"/>
    <w:rsid w:val="00FC0B13"/>
    <w:rsid w:val="00FC4C07"/>
    <w:rsid w:val="00FC59CA"/>
    <w:rsid w:val="00FD2636"/>
    <w:rsid w:val="00FD56D8"/>
    <w:rsid w:val="00FF53F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C26A"/>
  <w15:docId w15:val="{B51CF036-DD81-4B48-B349-82D2DA59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66"/>
    <w:pPr>
      <w:spacing w:after="0" w:line="240" w:lineRule="auto"/>
    </w:pPr>
    <w:rPr>
      <w:rFonts w:ascii="CG Times" w:eastAsia="Times New Roman" w:hAnsi="CG Times" w:cs="Times New Roman"/>
      <w:noProof/>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332"/>
    <w:rPr>
      <w:color w:val="0000FF" w:themeColor="hyperlink"/>
      <w:u w:val="single"/>
    </w:rPr>
  </w:style>
  <w:style w:type="paragraph" w:styleId="Revision">
    <w:name w:val="Revision"/>
    <w:hidden/>
    <w:uiPriority w:val="99"/>
    <w:semiHidden/>
    <w:rsid w:val="00B4402B"/>
    <w:pPr>
      <w:spacing w:after="0" w:line="240" w:lineRule="auto"/>
    </w:pPr>
    <w:rPr>
      <w:rFonts w:ascii="CG Times" w:eastAsia="Times New Roman" w:hAnsi="CG Times" w:cs="Times New Roman"/>
      <w:noProof/>
      <w:sz w:val="24"/>
      <w:szCs w:val="20"/>
      <w:lang w:eastAsia="nl-NL"/>
    </w:rPr>
  </w:style>
  <w:style w:type="paragraph" w:styleId="BalloonText">
    <w:name w:val="Balloon Text"/>
    <w:basedOn w:val="Normal"/>
    <w:link w:val="BalloonTextChar"/>
    <w:uiPriority w:val="99"/>
    <w:semiHidden/>
    <w:unhideWhenUsed/>
    <w:rsid w:val="00B4402B"/>
    <w:rPr>
      <w:rFonts w:ascii="Tahoma" w:hAnsi="Tahoma" w:cs="Tahoma"/>
      <w:sz w:val="16"/>
      <w:szCs w:val="16"/>
    </w:rPr>
  </w:style>
  <w:style w:type="character" w:customStyle="1" w:styleId="BalloonTextChar">
    <w:name w:val="Balloon Text Char"/>
    <w:basedOn w:val="DefaultParagraphFont"/>
    <w:link w:val="BalloonText"/>
    <w:uiPriority w:val="99"/>
    <w:semiHidden/>
    <w:rsid w:val="00B4402B"/>
    <w:rPr>
      <w:rFonts w:ascii="Tahoma" w:eastAsia="Times New Roman" w:hAnsi="Tahoma" w:cs="Tahoma"/>
      <w:noProof/>
      <w:sz w:val="16"/>
      <w:szCs w:val="16"/>
      <w:lang w:eastAsia="nl-NL"/>
    </w:rPr>
  </w:style>
  <w:style w:type="paragraph" w:styleId="Header">
    <w:name w:val="header"/>
    <w:basedOn w:val="Normal"/>
    <w:link w:val="HeaderChar"/>
    <w:uiPriority w:val="99"/>
    <w:unhideWhenUsed/>
    <w:rsid w:val="005F0190"/>
    <w:pPr>
      <w:tabs>
        <w:tab w:val="center" w:pos="4536"/>
        <w:tab w:val="right" w:pos="9072"/>
      </w:tabs>
    </w:pPr>
  </w:style>
  <w:style w:type="character" w:customStyle="1" w:styleId="HeaderChar">
    <w:name w:val="Header Char"/>
    <w:basedOn w:val="DefaultParagraphFont"/>
    <w:link w:val="Header"/>
    <w:uiPriority w:val="99"/>
    <w:rsid w:val="005F0190"/>
    <w:rPr>
      <w:rFonts w:ascii="CG Times" w:eastAsia="Times New Roman" w:hAnsi="CG Times" w:cs="Times New Roman"/>
      <w:noProof/>
      <w:sz w:val="24"/>
      <w:szCs w:val="20"/>
      <w:lang w:eastAsia="nl-NL"/>
    </w:rPr>
  </w:style>
  <w:style w:type="paragraph" w:styleId="Footer">
    <w:name w:val="footer"/>
    <w:basedOn w:val="Normal"/>
    <w:link w:val="FooterChar"/>
    <w:uiPriority w:val="99"/>
    <w:unhideWhenUsed/>
    <w:rsid w:val="005F0190"/>
    <w:pPr>
      <w:tabs>
        <w:tab w:val="center" w:pos="4536"/>
        <w:tab w:val="right" w:pos="9072"/>
      </w:tabs>
    </w:pPr>
  </w:style>
  <w:style w:type="character" w:customStyle="1" w:styleId="FooterChar">
    <w:name w:val="Footer Char"/>
    <w:basedOn w:val="DefaultParagraphFont"/>
    <w:link w:val="Footer"/>
    <w:uiPriority w:val="99"/>
    <w:rsid w:val="005F0190"/>
    <w:rPr>
      <w:rFonts w:ascii="CG Times" w:eastAsia="Times New Roman" w:hAnsi="CG Times" w:cs="Times New Roman"/>
      <w:noProof/>
      <w:sz w:val="24"/>
      <w:szCs w:val="20"/>
      <w:lang w:eastAsia="nl-NL"/>
    </w:rPr>
  </w:style>
  <w:style w:type="paragraph" w:styleId="NormalWeb">
    <w:name w:val="Normal (Web)"/>
    <w:basedOn w:val="Normal"/>
    <w:uiPriority w:val="99"/>
    <w:semiHidden/>
    <w:unhideWhenUsed/>
    <w:rsid w:val="00274310"/>
    <w:pPr>
      <w:spacing w:before="100" w:beforeAutospacing="1" w:after="100" w:afterAutospacing="1"/>
    </w:pPr>
    <w:rPr>
      <w:rFonts w:ascii="Times New Roman" w:hAnsi="Times New Roman"/>
      <w:noProof w:val="0"/>
      <w:szCs w:val="24"/>
      <w:lang w:val="en-GB" w:eastAsia="en-GB"/>
    </w:rPr>
  </w:style>
  <w:style w:type="paragraph" w:styleId="ListParagraph">
    <w:name w:val="List Paragraph"/>
    <w:basedOn w:val="Normal"/>
    <w:uiPriority w:val="34"/>
    <w:qFormat/>
    <w:rsid w:val="00C5093B"/>
    <w:pPr>
      <w:ind w:left="720"/>
      <w:contextualSpacing/>
    </w:pPr>
  </w:style>
  <w:style w:type="paragraph" w:styleId="FootnoteText">
    <w:name w:val="footnote text"/>
    <w:basedOn w:val="Normal"/>
    <w:link w:val="FootnoteTextChar"/>
    <w:uiPriority w:val="99"/>
    <w:semiHidden/>
    <w:unhideWhenUsed/>
    <w:rsid w:val="00BB1ED5"/>
    <w:rPr>
      <w:sz w:val="20"/>
    </w:rPr>
  </w:style>
  <w:style w:type="character" w:customStyle="1" w:styleId="FootnoteTextChar">
    <w:name w:val="Footnote Text Char"/>
    <w:basedOn w:val="DefaultParagraphFont"/>
    <w:link w:val="FootnoteText"/>
    <w:uiPriority w:val="99"/>
    <w:semiHidden/>
    <w:rsid w:val="00BB1ED5"/>
    <w:rPr>
      <w:rFonts w:ascii="CG Times" w:eastAsia="Times New Roman" w:hAnsi="CG Times" w:cs="Times New Roman"/>
      <w:noProof/>
      <w:sz w:val="20"/>
      <w:szCs w:val="20"/>
      <w:lang w:eastAsia="nl-NL"/>
    </w:rPr>
  </w:style>
  <w:style w:type="character" w:styleId="FootnoteReference">
    <w:name w:val="footnote reference"/>
    <w:basedOn w:val="DefaultParagraphFont"/>
    <w:uiPriority w:val="99"/>
    <w:semiHidden/>
    <w:unhideWhenUsed/>
    <w:rsid w:val="00BB1ED5"/>
    <w:rPr>
      <w:vertAlign w:val="superscript"/>
    </w:rPr>
  </w:style>
  <w:style w:type="paragraph" w:customStyle="1" w:styleId="har">
    <w:name w:val="har"/>
    <w:basedOn w:val="FootnoteText"/>
    <w:qFormat/>
    <w:rsid w:val="002360FA"/>
    <w:rPr>
      <w:rFonts w:ascii="Times New Roman" w:hAnsi="Times New Roman"/>
      <w:i/>
      <w:sz w:val="22"/>
      <w:szCs w:val="22"/>
      <w:lang w:val="en-GB"/>
    </w:rPr>
  </w:style>
  <w:style w:type="character" w:customStyle="1" w:styleId="UnresolvedMention">
    <w:name w:val="Unresolved Mention"/>
    <w:basedOn w:val="DefaultParagraphFont"/>
    <w:uiPriority w:val="99"/>
    <w:semiHidden/>
    <w:unhideWhenUsed/>
    <w:rsid w:val="005515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6155">
      <w:bodyDiv w:val="1"/>
      <w:marLeft w:val="0"/>
      <w:marRight w:val="0"/>
      <w:marTop w:val="0"/>
      <w:marBottom w:val="0"/>
      <w:divBdr>
        <w:top w:val="none" w:sz="0" w:space="0" w:color="auto"/>
        <w:left w:val="none" w:sz="0" w:space="0" w:color="auto"/>
        <w:bottom w:val="none" w:sz="0" w:space="0" w:color="auto"/>
        <w:right w:val="none" w:sz="0" w:space="0" w:color="auto"/>
      </w:divBdr>
      <w:divsChild>
        <w:div w:id="1408112081">
          <w:marLeft w:val="0"/>
          <w:marRight w:val="0"/>
          <w:marTop w:val="0"/>
          <w:marBottom w:val="0"/>
          <w:divBdr>
            <w:top w:val="none" w:sz="0" w:space="0" w:color="auto"/>
            <w:left w:val="none" w:sz="0" w:space="0" w:color="auto"/>
            <w:bottom w:val="none" w:sz="0" w:space="0" w:color="auto"/>
            <w:right w:val="none" w:sz="0" w:space="0" w:color="auto"/>
          </w:divBdr>
          <w:divsChild>
            <w:div w:id="733963987">
              <w:marLeft w:val="0"/>
              <w:marRight w:val="0"/>
              <w:marTop w:val="0"/>
              <w:marBottom w:val="0"/>
              <w:divBdr>
                <w:top w:val="none" w:sz="0" w:space="0" w:color="auto"/>
                <w:left w:val="none" w:sz="0" w:space="0" w:color="auto"/>
                <w:bottom w:val="none" w:sz="0" w:space="0" w:color="auto"/>
                <w:right w:val="none" w:sz="0" w:space="0" w:color="auto"/>
              </w:divBdr>
            </w:div>
          </w:divsChild>
        </w:div>
        <w:div w:id="180778818">
          <w:marLeft w:val="0"/>
          <w:marRight w:val="0"/>
          <w:marTop w:val="0"/>
          <w:marBottom w:val="0"/>
          <w:divBdr>
            <w:top w:val="none" w:sz="0" w:space="0" w:color="auto"/>
            <w:left w:val="none" w:sz="0" w:space="0" w:color="auto"/>
            <w:bottom w:val="none" w:sz="0" w:space="0" w:color="auto"/>
            <w:right w:val="none" w:sz="0" w:space="0" w:color="auto"/>
          </w:divBdr>
          <w:divsChild>
            <w:div w:id="953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408">
      <w:bodyDiv w:val="1"/>
      <w:marLeft w:val="0"/>
      <w:marRight w:val="0"/>
      <w:marTop w:val="0"/>
      <w:marBottom w:val="0"/>
      <w:divBdr>
        <w:top w:val="none" w:sz="0" w:space="0" w:color="auto"/>
        <w:left w:val="none" w:sz="0" w:space="0" w:color="auto"/>
        <w:bottom w:val="none" w:sz="0" w:space="0" w:color="auto"/>
        <w:right w:val="none" w:sz="0" w:space="0" w:color="auto"/>
      </w:divBdr>
      <w:divsChild>
        <w:div w:id="1882328996">
          <w:marLeft w:val="0"/>
          <w:marRight w:val="0"/>
          <w:marTop w:val="0"/>
          <w:marBottom w:val="0"/>
          <w:divBdr>
            <w:top w:val="none" w:sz="0" w:space="0" w:color="auto"/>
            <w:left w:val="none" w:sz="0" w:space="0" w:color="auto"/>
            <w:bottom w:val="none" w:sz="0" w:space="0" w:color="auto"/>
            <w:right w:val="none" w:sz="0" w:space="0" w:color="auto"/>
          </w:divBdr>
        </w:div>
      </w:divsChild>
    </w:div>
    <w:div w:id="1023555058">
      <w:bodyDiv w:val="1"/>
      <w:marLeft w:val="0"/>
      <w:marRight w:val="0"/>
      <w:marTop w:val="0"/>
      <w:marBottom w:val="0"/>
      <w:divBdr>
        <w:top w:val="none" w:sz="0" w:space="0" w:color="auto"/>
        <w:left w:val="none" w:sz="0" w:space="0" w:color="auto"/>
        <w:bottom w:val="none" w:sz="0" w:space="0" w:color="auto"/>
        <w:right w:val="none" w:sz="0" w:space="0" w:color="auto"/>
      </w:divBdr>
      <w:divsChild>
        <w:div w:id="251940638">
          <w:marLeft w:val="0"/>
          <w:marRight w:val="0"/>
          <w:marTop w:val="0"/>
          <w:marBottom w:val="0"/>
          <w:divBdr>
            <w:top w:val="none" w:sz="0" w:space="0" w:color="auto"/>
            <w:left w:val="none" w:sz="0" w:space="0" w:color="auto"/>
            <w:bottom w:val="none" w:sz="0" w:space="0" w:color="auto"/>
            <w:right w:val="none" w:sz="0" w:space="0" w:color="auto"/>
          </w:divBdr>
          <w:divsChild>
            <w:div w:id="2075816888">
              <w:marLeft w:val="0"/>
              <w:marRight w:val="0"/>
              <w:marTop w:val="0"/>
              <w:marBottom w:val="0"/>
              <w:divBdr>
                <w:top w:val="none" w:sz="0" w:space="0" w:color="auto"/>
                <w:left w:val="none" w:sz="0" w:space="0" w:color="auto"/>
                <w:bottom w:val="none" w:sz="0" w:space="0" w:color="auto"/>
                <w:right w:val="none" w:sz="0" w:space="0" w:color="auto"/>
              </w:divBdr>
              <w:divsChild>
                <w:div w:id="13314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18834">
          <w:marLeft w:val="0"/>
          <w:marRight w:val="0"/>
          <w:marTop w:val="0"/>
          <w:marBottom w:val="0"/>
          <w:divBdr>
            <w:top w:val="none" w:sz="0" w:space="0" w:color="auto"/>
            <w:left w:val="none" w:sz="0" w:space="0" w:color="auto"/>
            <w:bottom w:val="none" w:sz="0" w:space="0" w:color="auto"/>
            <w:right w:val="none" w:sz="0" w:space="0" w:color="auto"/>
          </w:divBdr>
          <w:divsChild>
            <w:div w:id="1677225068">
              <w:marLeft w:val="0"/>
              <w:marRight w:val="0"/>
              <w:marTop w:val="0"/>
              <w:marBottom w:val="0"/>
              <w:divBdr>
                <w:top w:val="none" w:sz="0" w:space="0" w:color="auto"/>
                <w:left w:val="none" w:sz="0" w:space="0" w:color="auto"/>
                <w:bottom w:val="none" w:sz="0" w:space="0" w:color="auto"/>
                <w:right w:val="none" w:sz="0" w:space="0" w:color="auto"/>
              </w:divBdr>
            </w:div>
            <w:div w:id="604458189">
              <w:marLeft w:val="0"/>
              <w:marRight w:val="0"/>
              <w:marTop w:val="0"/>
              <w:marBottom w:val="0"/>
              <w:divBdr>
                <w:top w:val="none" w:sz="0" w:space="0" w:color="auto"/>
                <w:left w:val="none" w:sz="0" w:space="0" w:color="auto"/>
                <w:bottom w:val="none" w:sz="0" w:space="0" w:color="auto"/>
                <w:right w:val="none" w:sz="0" w:space="0" w:color="auto"/>
              </w:divBdr>
            </w:div>
            <w:div w:id="8747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158">
      <w:bodyDiv w:val="1"/>
      <w:marLeft w:val="0"/>
      <w:marRight w:val="0"/>
      <w:marTop w:val="0"/>
      <w:marBottom w:val="0"/>
      <w:divBdr>
        <w:top w:val="none" w:sz="0" w:space="0" w:color="auto"/>
        <w:left w:val="none" w:sz="0" w:space="0" w:color="auto"/>
        <w:bottom w:val="none" w:sz="0" w:space="0" w:color="auto"/>
        <w:right w:val="none" w:sz="0" w:space="0" w:color="auto"/>
      </w:divBdr>
    </w:div>
    <w:div w:id="1168328235">
      <w:bodyDiv w:val="1"/>
      <w:marLeft w:val="0"/>
      <w:marRight w:val="0"/>
      <w:marTop w:val="0"/>
      <w:marBottom w:val="0"/>
      <w:divBdr>
        <w:top w:val="none" w:sz="0" w:space="0" w:color="auto"/>
        <w:left w:val="none" w:sz="0" w:space="0" w:color="auto"/>
        <w:bottom w:val="none" w:sz="0" w:space="0" w:color="auto"/>
        <w:right w:val="none" w:sz="0" w:space="0" w:color="auto"/>
      </w:divBdr>
    </w:div>
    <w:div w:id="19079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reuters.com/article/2014/09/02/islam-banking-deposits-idINKBN0GX0JU20140902" TargetMode="External"/><Relationship Id="rId4" Type="http://schemas.openxmlformats.org/officeDocument/2006/relationships/styles" Target="styles.xml"/><Relationship Id="rId9" Type="http://schemas.openxmlformats.org/officeDocument/2006/relationships/hyperlink" Target="http://www.chicagofed.org/community_development/files/02_2006_islamic_financ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D3D1-D775-43BC-9DB4-8824F6F2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3699</TotalTime>
  <Pages>15</Pages>
  <Words>7190</Words>
  <Characters>39548</Characters>
  <Application>Microsoft Office Word</Application>
  <DocSecurity>0</DocSecurity>
  <Lines>329</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dc:creator>
  <cp:lastModifiedBy>Visser, H.</cp:lastModifiedBy>
  <cp:revision>48</cp:revision>
  <dcterms:created xsi:type="dcterms:W3CDTF">2016-07-06T14:56:00Z</dcterms:created>
  <dcterms:modified xsi:type="dcterms:W3CDTF">2019-11-13T11:42:00Z</dcterms:modified>
</cp:coreProperties>
</file>